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C9" w:rsidRPr="00CE414D" w:rsidRDefault="0050445B" w:rsidP="00C02F74">
      <w:pPr>
        <w:pBdr>
          <w:bottom w:val="single" w:sz="4" w:space="1" w:color="auto"/>
        </w:pBdr>
        <w:ind w:left="-142" w:right="119"/>
        <w:jc w:val="center"/>
        <w:rPr>
          <w:rFonts w:ascii="Arial" w:hAnsi="Arial" w:cs="Arial"/>
          <w:b/>
          <w:sz w:val="28"/>
          <w:szCs w:val="28"/>
        </w:rPr>
      </w:pPr>
      <w:r w:rsidRPr="00CE414D">
        <w:rPr>
          <w:rFonts w:ascii="Arial" w:hAnsi="Arial" w:cs="Arial"/>
          <w:b/>
          <w:sz w:val="28"/>
          <w:szCs w:val="28"/>
        </w:rPr>
        <w:t xml:space="preserve">MODELO DE FICHA PROYECTOS </w:t>
      </w:r>
    </w:p>
    <w:p w:rsidR="0050445B" w:rsidRPr="006A449C" w:rsidRDefault="0050445B" w:rsidP="0050445B">
      <w:pPr>
        <w:spacing w:line="360" w:lineRule="auto"/>
        <w:jc w:val="center"/>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50445B" w:rsidRPr="00963B64" w:rsidTr="00B24632">
        <w:trPr>
          <w:trHeight w:val="80"/>
        </w:trPr>
        <w:tc>
          <w:tcPr>
            <w:tcW w:w="2808" w:type="dxa"/>
            <w:tcBorders>
              <w:top w:val="nil"/>
              <w:left w:val="nil"/>
              <w:bottom w:val="single" w:sz="4" w:space="0" w:color="auto"/>
              <w:right w:val="nil"/>
            </w:tcBorders>
            <w:shd w:val="clear" w:color="auto" w:fill="auto"/>
            <w:vAlign w:val="bottom"/>
          </w:tcPr>
          <w:p w:rsidR="00C02F74" w:rsidRPr="00F36C6E" w:rsidRDefault="00072731" w:rsidP="00C44308">
            <w:pPr>
              <w:rPr>
                <w:rFonts w:ascii="Arial" w:hAnsi="Arial" w:cs="Arial"/>
                <w:b/>
                <w:sz w:val="22"/>
                <w:szCs w:val="22"/>
              </w:rPr>
            </w:pPr>
            <w:r w:rsidRPr="00F36C6E">
              <w:rPr>
                <w:rFonts w:ascii="Arial" w:hAnsi="Arial" w:cs="Arial"/>
                <w:b/>
                <w:sz w:val="22"/>
                <w:szCs w:val="22"/>
              </w:rPr>
              <w:t>Nombre del proyecto:</w:t>
            </w:r>
          </w:p>
        </w:tc>
        <w:tc>
          <w:tcPr>
            <w:tcW w:w="7020" w:type="dxa"/>
            <w:tcBorders>
              <w:top w:val="nil"/>
              <w:left w:val="nil"/>
              <w:bottom w:val="single" w:sz="4" w:space="0" w:color="auto"/>
              <w:right w:val="nil"/>
            </w:tcBorders>
            <w:shd w:val="clear" w:color="auto" w:fill="auto"/>
            <w:vAlign w:val="bottom"/>
          </w:tcPr>
          <w:p w:rsidR="0050445B" w:rsidRPr="00C8400D" w:rsidRDefault="006041EE" w:rsidP="00C44308">
            <w:pPr>
              <w:rPr>
                <w:rFonts w:ascii="Arial" w:hAnsi="Arial" w:cs="Arial"/>
                <w:b/>
                <w:sz w:val="22"/>
                <w:szCs w:val="22"/>
              </w:rPr>
            </w:pPr>
            <w:r w:rsidRPr="00C8400D">
              <w:rPr>
                <w:rFonts w:ascii="Arial" w:hAnsi="Arial" w:cs="Arial"/>
                <w:b/>
                <w:color w:val="548DD4" w:themeColor="text2" w:themeTint="99"/>
                <w:sz w:val="22"/>
                <w:szCs w:val="22"/>
              </w:rPr>
              <w:t>Centro Asociativo de Logística Agroalimentaria (CALAGRO)</w:t>
            </w:r>
          </w:p>
        </w:tc>
      </w:tr>
      <w:tr w:rsidR="0050445B" w:rsidRPr="00963B64" w:rsidTr="00C44308">
        <w:trPr>
          <w:trHeight w:val="161"/>
        </w:trPr>
        <w:tc>
          <w:tcPr>
            <w:tcW w:w="2808" w:type="dxa"/>
            <w:tcBorders>
              <w:left w:val="nil"/>
              <w:bottom w:val="nil"/>
              <w:right w:val="nil"/>
            </w:tcBorders>
            <w:shd w:val="clear" w:color="auto" w:fill="auto"/>
          </w:tcPr>
          <w:p w:rsidR="0050445B" w:rsidRPr="00F36C6E" w:rsidRDefault="0050445B" w:rsidP="00C44308">
            <w:pPr>
              <w:rPr>
                <w:rFonts w:ascii="Arial" w:hAnsi="Arial" w:cs="Arial"/>
                <w:b/>
                <w:sz w:val="22"/>
                <w:szCs w:val="22"/>
              </w:rPr>
            </w:pPr>
          </w:p>
        </w:tc>
        <w:tc>
          <w:tcPr>
            <w:tcW w:w="7020" w:type="dxa"/>
            <w:tcBorders>
              <w:left w:val="nil"/>
              <w:bottom w:val="nil"/>
              <w:right w:val="nil"/>
            </w:tcBorders>
            <w:shd w:val="clear" w:color="auto" w:fill="auto"/>
          </w:tcPr>
          <w:p w:rsidR="0050445B" w:rsidRPr="00C8400D" w:rsidRDefault="0050445B" w:rsidP="00C44308">
            <w:pPr>
              <w:rPr>
                <w:rFonts w:ascii="Arial" w:hAnsi="Arial" w:cs="Arial"/>
                <w:b/>
                <w:sz w:val="22"/>
                <w:szCs w:val="22"/>
              </w:rPr>
            </w:pPr>
          </w:p>
        </w:tc>
      </w:tr>
      <w:tr w:rsidR="0050445B" w:rsidRPr="00963B64" w:rsidTr="00B24632">
        <w:trPr>
          <w:trHeight w:val="269"/>
        </w:trPr>
        <w:tc>
          <w:tcPr>
            <w:tcW w:w="2808" w:type="dxa"/>
            <w:tcBorders>
              <w:top w:val="nil"/>
              <w:left w:val="nil"/>
              <w:bottom w:val="single" w:sz="4" w:space="0" w:color="auto"/>
              <w:right w:val="nil"/>
            </w:tcBorders>
            <w:shd w:val="clear" w:color="auto" w:fill="auto"/>
            <w:vAlign w:val="bottom"/>
          </w:tcPr>
          <w:p w:rsidR="0050445B" w:rsidRPr="00F36C6E" w:rsidRDefault="00072731" w:rsidP="008642E4">
            <w:pPr>
              <w:rPr>
                <w:rFonts w:ascii="Arial" w:hAnsi="Arial" w:cs="Arial"/>
                <w:b/>
                <w:sz w:val="22"/>
                <w:szCs w:val="22"/>
              </w:rPr>
            </w:pPr>
            <w:r w:rsidRPr="00F36C6E">
              <w:rPr>
                <w:rFonts w:ascii="Arial" w:hAnsi="Arial" w:cs="Arial"/>
                <w:b/>
                <w:sz w:val="22"/>
                <w:szCs w:val="22"/>
              </w:rPr>
              <w:t xml:space="preserve">Entidad Ejecutoria: </w:t>
            </w:r>
          </w:p>
        </w:tc>
        <w:tc>
          <w:tcPr>
            <w:tcW w:w="7020" w:type="dxa"/>
            <w:tcBorders>
              <w:top w:val="nil"/>
              <w:left w:val="nil"/>
              <w:bottom w:val="single" w:sz="4" w:space="0" w:color="auto"/>
              <w:right w:val="nil"/>
            </w:tcBorders>
            <w:shd w:val="clear" w:color="auto" w:fill="auto"/>
            <w:vAlign w:val="bottom"/>
          </w:tcPr>
          <w:p w:rsidR="0050445B" w:rsidRPr="00C8400D" w:rsidRDefault="006041EE" w:rsidP="00C44308">
            <w:pPr>
              <w:rPr>
                <w:rFonts w:ascii="Arial" w:hAnsi="Arial" w:cs="Arial"/>
                <w:b/>
                <w:sz w:val="22"/>
                <w:szCs w:val="22"/>
              </w:rPr>
            </w:pPr>
            <w:r w:rsidRPr="00C8400D">
              <w:rPr>
                <w:rFonts w:ascii="Arial" w:hAnsi="Arial" w:cs="Arial"/>
                <w:b/>
                <w:color w:val="548DD4" w:themeColor="text2" w:themeTint="99"/>
                <w:sz w:val="22"/>
                <w:szCs w:val="22"/>
              </w:rPr>
              <w:t>Cooperación Internacional</w:t>
            </w:r>
          </w:p>
        </w:tc>
      </w:tr>
      <w:tr w:rsidR="0050445B" w:rsidRPr="00963B64" w:rsidTr="00C44308">
        <w:trPr>
          <w:trHeight w:val="161"/>
        </w:trPr>
        <w:tc>
          <w:tcPr>
            <w:tcW w:w="2808" w:type="dxa"/>
            <w:tcBorders>
              <w:left w:val="nil"/>
              <w:bottom w:val="nil"/>
              <w:right w:val="nil"/>
            </w:tcBorders>
            <w:shd w:val="clear" w:color="auto" w:fill="auto"/>
          </w:tcPr>
          <w:p w:rsidR="0050445B" w:rsidRPr="00F36C6E" w:rsidRDefault="0050445B" w:rsidP="00C44308">
            <w:pPr>
              <w:rPr>
                <w:rFonts w:ascii="Arial" w:hAnsi="Arial" w:cs="Arial"/>
                <w:b/>
                <w:sz w:val="22"/>
                <w:szCs w:val="22"/>
              </w:rPr>
            </w:pPr>
          </w:p>
        </w:tc>
        <w:tc>
          <w:tcPr>
            <w:tcW w:w="7020" w:type="dxa"/>
            <w:tcBorders>
              <w:left w:val="nil"/>
              <w:bottom w:val="nil"/>
              <w:right w:val="nil"/>
            </w:tcBorders>
            <w:shd w:val="clear" w:color="auto" w:fill="auto"/>
          </w:tcPr>
          <w:p w:rsidR="0050445B" w:rsidRPr="00963B64" w:rsidRDefault="0050445B" w:rsidP="00C44308">
            <w:pPr>
              <w:rPr>
                <w:rFonts w:ascii="Arial" w:hAnsi="Arial" w:cs="Arial"/>
                <w:sz w:val="22"/>
                <w:szCs w:val="22"/>
              </w:rPr>
            </w:pPr>
          </w:p>
        </w:tc>
      </w:tr>
      <w:tr w:rsidR="0050445B" w:rsidRPr="00963B64" w:rsidTr="00B24632">
        <w:trPr>
          <w:trHeight w:val="80"/>
        </w:trPr>
        <w:tc>
          <w:tcPr>
            <w:tcW w:w="2808" w:type="dxa"/>
            <w:tcBorders>
              <w:top w:val="nil"/>
              <w:left w:val="nil"/>
              <w:bottom w:val="single" w:sz="4" w:space="0" w:color="auto"/>
              <w:right w:val="nil"/>
            </w:tcBorders>
            <w:shd w:val="clear" w:color="auto" w:fill="auto"/>
            <w:vAlign w:val="bottom"/>
          </w:tcPr>
          <w:p w:rsidR="0050445B" w:rsidRPr="00F36C6E" w:rsidRDefault="0050445B" w:rsidP="00072731">
            <w:pPr>
              <w:rPr>
                <w:rFonts w:ascii="Arial" w:hAnsi="Arial" w:cs="Arial"/>
                <w:b/>
                <w:sz w:val="22"/>
                <w:szCs w:val="22"/>
              </w:rPr>
            </w:pPr>
            <w:r w:rsidRPr="00F36C6E">
              <w:rPr>
                <w:rFonts w:ascii="Arial" w:hAnsi="Arial" w:cs="Arial"/>
                <w:b/>
                <w:sz w:val="22"/>
                <w:szCs w:val="22"/>
              </w:rPr>
              <w:t>Fecha de</w:t>
            </w:r>
            <w:r w:rsidR="00072731" w:rsidRPr="00F36C6E">
              <w:rPr>
                <w:rFonts w:ascii="Arial" w:hAnsi="Arial" w:cs="Arial"/>
                <w:b/>
                <w:sz w:val="22"/>
                <w:szCs w:val="22"/>
              </w:rPr>
              <w:t xml:space="preserve"> Inicio</w:t>
            </w:r>
            <w:r w:rsidRPr="00F36C6E">
              <w:rPr>
                <w:rFonts w:ascii="Arial" w:hAnsi="Arial" w:cs="Arial"/>
                <w:b/>
                <w:sz w:val="22"/>
                <w:szCs w:val="22"/>
              </w:rPr>
              <w:t>:</w:t>
            </w:r>
          </w:p>
        </w:tc>
        <w:tc>
          <w:tcPr>
            <w:tcW w:w="7020" w:type="dxa"/>
            <w:tcBorders>
              <w:top w:val="nil"/>
              <w:left w:val="nil"/>
              <w:bottom w:val="single" w:sz="4" w:space="0" w:color="auto"/>
              <w:right w:val="nil"/>
            </w:tcBorders>
            <w:shd w:val="clear" w:color="auto" w:fill="auto"/>
            <w:vAlign w:val="bottom"/>
          </w:tcPr>
          <w:p w:rsidR="0050445B" w:rsidRPr="008642E4" w:rsidRDefault="00C8400D" w:rsidP="00C44308">
            <w:pPr>
              <w:rPr>
                <w:rFonts w:ascii="Arial" w:hAnsi="Arial" w:cs="Arial"/>
                <w:b/>
                <w:sz w:val="22"/>
                <w:szCs w:val="22"/>
              </w:rPr>
            </w:pPr>
            <w:r w:rsidRPr="00C8400D">
              <w:rPr>
                <w:rFonts w:ascii="Arial" w:hAnsi="Arial" w:cs="Arial"/>
                <w:b/>
                <w:color w:val="548DD4" w:themeColor="text2" w:themeTint="99"/>
                <w:sz w:val="22"/>
                <w:szCs w:val="22"/>
              </w:rPr>
              <w:t>2016</w:t>
            </w:r>
          </w:p>
        </w:tc>
      </w:tr>
      <w:tr w:rsidR="0050445B" w:rsidRPr="00963B64" w:rsidTr="00C44308">
        <w:trPr>
          <w:trHeight w:val="161"/>
        </w:trPr>
        <w:tc>
          <w:tcPr>
            <w:tcW w:w="2808" w:type="dxa"/>
            <w:tcBorders>
              <w:left w:val="nil"/>
              <w:bottom w:val="nil"/>
              <w:right w:val="nil"/>
            </w:tcBorders>
            <w:shd w:val="clear" w:color="auto" w:fill="auto"/>
          </w:tcPr>
          <w:p w:rsidR="0050445B" w:rsidRPr="00F36C6E" w:rsidRDefault="0050445B" w:rsidP="00C44308">
            <w:pPr>
              <w:rPr>
                <w:rFonts w:ascii="Arial" w:hAnsi="Arial" w:cs="Arial"/>
                <w:b/>
                <w:sz w:val="22"/>
                <w:szCs w:val="22"/>
              </w:rPr>
            </w:pPr>
          </w:p>
        </w:tc>
        <w:tc>
          <w:tcPr>
            <w:tcW w:w="7020" w:type="dxa"/>
            <w:tcBorders>
              <w:left w:val="nil"/>
              <w:bottom w:val="nil"/>
              <w:right w:val="nil"/>
            </w:tcBorders>
            <w:shd w:val="clear" w:color="auto" w:fill="auto"/>
          </w:tcPr>
          <w:p w:rsidR="0050445B" w:rsidRPr="00963B64" w:rsidRDefault="0050445B" w:rsidP="00C44308">
            <w:pPr>
              <w:rPr>
                <w:rFonts w:ascii="Arial" w:hAnsi="Arial" w:cs="Arial"/>
                <w:sz w:val="22"/>
                <w:szCs w:val="22"/>
              </w:rPr>
            </w:pPr>
          </w:p>
        </w:tc>
      </w:tr>
      <w:tr w:rsidR="0050445B" w:rsidRPr="00963B64" w:rsidTr="00B24632">
        <w:trPr>
          <w:trHeight w:val="80"/>
        </w:trPr>
        <w:tc>
          <w:tcPr>
            <w:tcW w:w="2808" w:type="dxa"/>
            <w:tcBorders>
              <w:top w:val="nil"/>
              <w:left w:val="nil"/>
              <w:bottom w:val="single" w:sz="4" w:space="0" w:color="auto"/>
              <w:right w:val="nil"/>
            </w:tcBorders>
            <w:shd w:val="clear" w:color="auto" w:fill="auto"/>
            <w:vAlign w:val="bottom"/>
          </w:tcPr>
          <w:p w:rsidR="0050445B" w:rsidRPr="00F36C6E" w:rsidRDefault="00072731" w:rsidP="00D47C10">
            <w:pPr>
              <w:rPr>
                <w:rFonts w:ascii="Arial" w:hAnsi="Arial" w:cs="Arial"/>
                <w:b/>
                <w:sz w:val="22"/>
                <w:szCs w:val="22"/>
              </w:rPr>
            </w:pPr>
            <w:r w:rsidRPr="00F36C6E">
              <w:rPr>
                <w:rFonts w:ascii="Arial" w:hAnsi="Arial" w:cs="Arial"/>
                <w:b/>
                <w:sz w:val="22"/>
                <w:szCs w:val="22"/>
              </w:rPr>
              <w:t>Fecha de Término</w:t>
            </w:r>
            <w:r w:rsidR="0050445B" w:rsidRPr="00F36C6E">
              <w:rPr>
                <w:rFonts w:ascii="Arial" w:hAnsi="Arial" w:cs="Arial"/>
                <w:b/>
                <w:sz w:val="22"/>
                <w:szCs w:val="22"/>
              </w:rPr>
              <w:t>:</w:t>
            </w:r>
          </w:p>
        </w:tc>
        <w:tc>
          <w:tcPr>
            <w:tcW w:w="7020" w:type="dxa"/>
            <w:tcBorders>
              <w:top w:val="nil"/>
              <w:left w:val="nil"/>
              <w:bottom w:val="single" w:sz="4" w:space="0" w:color="auto"/>
              <w:right w:val="nil"/>
            </w:tcBorders>
            <w:shd w:val="clear" w:color="auto" w:fill="auto"/>
            <w:vAlign w:val="bottom"/>
          </w:tcPr>
          <w:p w:rsidR="0050445B" w:rsidRPr="008642E4" w:rsidRDefault="00C8400D" w:rsidP="008642E4">
            <w:pPr>
              <w:rPr>
                <w:rFonts w:ascii="Arial" w:hAnsi="Arial" w:cs="Arial"/>
                <w:b/>
                <w:sz w:val="22"/>
                <w:szCs w:val="22"/>
              </w:rPr>
            </w:pPr>
            <w:r w:rsidRPr="00C8400D">
              <w:rPr>
                <w:rFonts w:ascii="Arial" w:hAnsi="Arial" w:cs="Arial"/>
                <w:b/>
                <w:color w:val="548DD4" w:themeColor="text2" w:themeTint="99"/>
                <w:sz w:val="22"/>
                <w:szCs w:val="22"/>
              </w:rPr>
              <w:t>En ejecución</w:t>
            </w:r>
          </w:p>
        </w:tc>
      </w:tr>
      <w:tr w:rsidR="0050445B" w:rsidRPr="00963B64" w:rsidTr="00C44308">
        <w:trPr>
          <w:trHeight w:val="161"/>
        </w:trPr>
        <w:tc>
          <w:tcPr>
            <w:tcW w:w="2808" w:type="dxa"/>
            <w:tcBorders>
              <w:left w:val="nil"/>
              <w:bottom w:val="nil"/>
              <w:right w:val="nil"/>
            </w:tcBorders>
            <w:shd w:val="clear" w:color="auto" w:fill="auto"/>
          </w:tcPr>
          <w:p w:rsidR="0050445B" w:rsidRPr="00F36C6E" w:rsidRDefault="0050445B" w:rsidP="00C44308">
            <w:pPr>
              <w:rPr>
                <w:rFonts w:ascii="Arial" w:hAnsi="Arial" w:cs="Arial"/>
                <w:b/>
                <w:sz w:val="22"/>
                <w:szCs w:val="22"/>
              </w:rPr>
            </w:pPr>
          </w:p>
        </w:tc>
        <w:tc>
          <w:tcPr>
            <w:tcW w:w="7020" w:type="dxa"/>
            <w:tcBorders>
              <w:left w:val="nil"/>
              <w:bottom w:val="nil"/>
              <w:right w:val="nil"/>
            </w:tcBorders>
            <w:shd w:val="clear" w:color="auto" w:fill="auto"/>
          </w:tcPr>
          <w:p w:rsidR="0050445B" w:rsidRPr="00963B64" w:rsidRDefault="0050445B" w:rsidP="00C44308">
            <w:pPr>
              <w:rPr>
                <w:rFonts w:ascii="Arial" w:hAnsi="Arial" w:cs="Arial"/>
                <w:sz w:val="22"/>
                <w:szCs w:val="22"/>
              </w:rPr>
            </w:pPr>
          </w:p>
        </w:tc>
      </w:tr>
      <w:tr w:rsidR="0050445B" w:rsidRPr="00963B64" w:rsidTr="00D47C10">
        <w:trPr>
          <w:trHeight w:val="259"/>
        </w:trPr>
        <w:tc>
          <w:tcPr>
            <w:tcW w:w="2808" w:type="dxa"/>
            <w:tcBorders>
              <w:top w:val="nil"/>
              <w:left w:val="nil"/>
              <w:bottom w:val="single" w:sz="4" w:space="0" w:color="auto"/>
              <w:right w:val="nil"/>
            </w:tcBorders>
            <w:shd w:val="clear" w:color="auto" w:fill="auto"/>
            <w:vAlign w:val="bottom"/>
          </w:tcPr>
          <w:p w:rsidR="0050445B" w:rsidRPr="00F36C6E" w:rsidRDefault="00D47C10" w:rsidP="00D47C10">
            <w:pPr>
              <w:rPr>
                <w:rFonts w:ascii="Arial" w:hAnsi="Arial" w:cs="Arial"/>
                <w:b/>
                <w:sz w:val="22"/>
                <w:szCs w:val="22"/>
              </w:rPr>
            </w:pPr>
            <w:r w:rsidRPr="00F36C6E">
              <w:rPr>
                <w:rFonts w:ascii="Arial" w:hAnsi="Arial" w:cs="Arial"/>
                <w:b/>
                <w:sz w:val="22"/>
                <w:szCs w:val="22"/>
              </w:rPr>
              <w:t xml:space="preserve">Lugar de Ejecución: </w:t>
            </w:r>
          </w:p>
        </w:tc>
        <w:tc>
          <w:tcPr>
            <w:tcW w:w="7020" w:type="dxa"/>
            <w:tcBorders>
              <w:top w:val="nil"/>
              <w:left w:val="nil"/>
              <w:bottom w:val="single" w:sz="4" w:space="0" w:color="auto"/>
              <w:right w:val="nil"/>
            </w:tcBorders>
            <w:shd w:val="clear" w:color="auto" w:fill="auto"/>
            <w:vAlign w:val="bottom"/>
          </w:tcPr>
          <w:p w:rsidR="0050445B" w:rsidRPr="008642E4" w:rsidRDefault="00C8400D" w:rsidP="00C44308">
            <w:pPr>
              <w:rPr>
                <w:rFonts w:ascii="Arial" w:hAnsi="Arial" w:cs="Arial"/>
                <w:sz w:val="22"/>
                <w:szCs w:val="22"/>
              </w:rPr>
            </w:pPr>
            <w:r w:rsidRPr="008D5390">
              <w:rPr>
                <w:rFonts w:ascii="Arial" w:hAnsi="Arial" w:cs="Arial"/>
                <w:color w:val="548DD4" w:themeColor="text2" w:themeTint="99"/>
                <w:sz w:val="22"/>
                <w:szCs w:val="22"/>
              </w:rPr>
              <w:t>Municipio Monte Plata, Provincia Monte Plata, República Dominicana</w:t>
            </w:r>
          </w:p>
        </w:tc>
      </w:tr>
      <w:tr w:rsidR="0050445B" w:rsidRPr="00963B64" w:rsidTr="00B24632">
        <w:trPr>
          <w:trHeight w:val="412"/>
        </w:trPr>
        <w:tc>
          <w:tcPr>
            <w:tcW w:w="2808" w:type="dxa"/>
            <w:tcBorders>
              <w:left w:val="nil"/>
              <w:bottom w:val="nil"/>
              <w:right w:val="nil"/>
            </w:tcBorders>
            <w:shd w:val="clear" w:color="auto" w:fill="auto"/>
          </w:tcPr>
          <w:p w:rsidR="00E761A3" w:rsidRDefault="00E761A3" w:rsidP="00D47C10">
            <w:pPr>
              <w:rPr>
                <w:rFonts w:ascii="Arial" w:hAnsi="Arial" w:cs="Arial"/>
                <w:b/>
                <w:sz w:val="22"/>
                <w:szCs w:val="22"/>
              </w:rPr>
            </w:pPr>
          </w:p>
          <w:p w:rsidR="00D47C10" w:rsidRPr="00F36C6E" w:rsidRDefault="00933F58" w:rsidP="00D47C10">
            <w:pPr>
              <w:rPr>
                <w:rFonts w:ascii="Arial" w:hAnsi="Arial" w:cs="Arial"/>
                <w:b/>
                <w:sz w:val="22"/>
                <w:szCs w:val="22"/>
              </w:rPr>
            </w:pPr>
            <w:r>
              <w:rPr>
                <w:rFonts w:ascii="Arial" w:hAnsi="Arial" w:cs="Arial"/>
                <w:b/>
                <w:sz w:val="22"/>
                <w:szCs w:val="22"/>
              </w:rPr>
              <w:t>Población Beneficiaria:</w:t>
            </w:r>
            <w:r w:rsidR="00C8400D">
              <w:rPr>
                <w:rFonts w:ascii="Arial" w:hAnsi="Arial" w:cs="Arial"/>
                <w:b/>
                <w:sz w:val="22"/>
                <w:szCs w:val="22"/>
              </w:rPr>
              <w:t xml:space="preserve">         </w:t>
            </w:r>
          </w:p>
        </w:tc>
        <w:tc>
          <w:tcPr>
            <w:tcW w:w="7020" w:type="dxa"/>
            <w:tcBorders>
              <w:left w:val="nil"/>
              <w:bottom w:val="nil"/>
              <w:right w:val="nil"/>
            </w:tcBorders>
            <w:shd w:val="clear" w:color="auto" w:fill="auto"/>
          </w:tcPr>
          <w:p w:rsidR="008D5390" w:rsidRDefault="008D5390" w:rsidP="00C44308">
            <w:pPr>
              <w:rPr>
                <w:rFonts w:ascii="Arial" w:hAnsi="Arial" w:cs="Arial"/>
                <w:color w:val="548DD4" w:themeColor="text2" w:themeTint="99"/>
                <w:sz w:val="22"/>
                <w:szCs w:val="22"/>
              </w:rPr>
            </w:pPr>
          </w:p>
          <w:p w:rsidR="0050445B" w:rsidRPr="00963B64" w:rsidRDefault="00C8400D" w:rsidP="00C44308">
            <w:pPr>
              <w:rPr>
                <w:rFonts w:ascii="Arial" w:hAnsi="Arial" w:cs="Arial"/>
                <w:sz w:val="22"/>
                <w:szCs w:val="22"/>
              </w:rPr>
            </w:pPr>
            <w:r w:rsidRPr="00C8400D">
              <w:rPr>
                <w:rFonts w:ascii="Arial" w:hAnsi="Arial" w:cs="Arial"/>
                <w:color w:val="548DD4" w:themeColor="text2" w:themeTint="99"/>
                <w:sz w:val="22"/>
                <w:szCs w:val="22"/>
              </w:rPr>
              <w:t>14,064 beneficiarios</w:t>
            </w:r>
            <w:r w:rsidRPr="008D5390">
              <w:rPr>
                <w:rFonts w:ascii="Arial" w:hAnsi="Arial" w:cs="Arial"/>
                <w:color w:val="548DD4" w:themeColor="text2" w:themeTint="99"/>
                <w:sz w:val="22"/>
                <w:szCs w:val="22"/>
              </w:rPr>
              <w:t>.</w:t>
            </w:r>
          </w:p>
        </w:tc>
      </w:tr>
      <w:tr w:rsidR="00D47C10" w:rsidRPr="00963B64" w:rsidTr="00C44308">
        <w:trPr>
          <w:trHeight w:val="161"/>
        </w:trPr>
        <w:tc>
          <w:tcPr>
            <w:tcW w:w="2808" w:type="dxa"/>
            <w:tcBorders>
              <w:left w:val="nil"/>
              <w:bottom w:val="nil"/>
              <w:right w:val="nil"/>
            </w:tcBorders>
            <w:shd w:val="clear" w:color="auto" w:fill="auto"/>
          </w:tcPr>
          <w:p w:rsidR="00D47C10" w:rsidRPr="00F36C6E" w:rsidRDefault="00D47C10" w:rsidP="00C44308">
            <w:pPr>
              <w:rPr>
                <w:rFonts w:ascii="Arial" w:hAnsi="Arial" w:cs="Arial"/>
                <w:b/>
                <w:sz w:val="22"/>
                <w:szCs w:val="22"/>
              </w:rPr>
            </w:pPr>
          </w:p>
        </w:tc>
        <w:tc>
          <w:tcPr>
            <w:tcW w:w="7020" w:type="dxa"/>
            <w:tcBorders>
              <w:left w:val="nil"/>
              <w:bottom w:val="nil"/>
              <w:right w:val="nil"/>
            </w:tcBorders>
            <w:shd w:val="clear" w:color="auto" w:fill="auto"/>
          </w:tcPr>
          <w:p w:rsidR="00D47C10" w:rsidRPr="00963B64" w:rsidRDefault="00D47C10" w:rsidP="00C44308">
            <w:pPr>
              <w:rPr>
                <w:rFonts w:ascii="Arial" w:hAnsi="Arial" w:cs="Arial"/>
                <w:sz w:val="22"/>
                <w:szCs w:val="22"/>
              </w:rPr>
            </w:pPr>
          </w:p>
        </w:tc>
      </w:tr>
      <w:tr w:rsidR="0050445B" w:rsidRPr="00963B64" w:rsidTr="00C44308">
        <w:trPr>
          <w:trHeight w:val="387"/>
        </w:trPr>
        <w:tc>
          <w:tcPr>
            <w:tcW w:w="2808" w:type="dxa"/>
            <w:tcBorders>
              <w:top w:val="nil"/>
              <w:left w:val="nil"/>
              <w:bottom w:val="single" w:sz="4" w:space="0" w:color="auto"/>
              <w:right w:val="nil"/>
            </w:tcBorders>
            <w:shd w:val="clear" w:color="auto" w:fill="auto"/>
            <w:vAlign w:val="bottom"/>
          </w:tcPr>
          <w:p w:rsidR="0050445B" w:rsidRPr="00F36C6E" w:rsidRDefault="00F33784" w:rsidP="00C44308">
            <w:pPr>
              <w:rPr>
                <w:rFonts w:ascii="Arial" w:hAnsi="Arial" w:cs="Arial"/>
                <w:b/>
                <w:sz w:val="22"/>
                <w:szCs w:val="22"/>
              </w:rPr>
            </w:pPr>
            <w:r w:rsidRPr="00F36C6E">
              <w:rPr>
                <w:rFonts w:ascii="Arial" w:hAnsi="Arial" w:cs="Arial"/>
                <w:b/>
                <w:sz w:val="22"/>
                <w:szCs w:val="22"/>
              </w:rPr>
              <w:t>Monto del Financiamiento</w:t>
            </w:r>
            <w:r w:rsidR="0050445B" w:rsidRPr="00F36C6E">
              <w:rPr>
                <w:rFonts w:ascii="Arial" w:hAnsi="Arial" w:cs="Arial"/>
                <w:b/>
                <w:sz w:val="22"/>
                <w:szCs w:val="22"/>
              </w:rPr>
              <w:t>:</w:t>
            </w:r>
            <w:r w:rsidR="002E3576">
              <w:rPr>
                <w:rFonts w:ascii="Arial" w:hAnsi="Arial" w:cs="Arial"/>
                <w:b/>
                <w:sz w:val="22"/>
                <w:szCs w:val="22"/>
              </w:rPr>
              <w:t xml:space="preserve"> </w:t>
            </w:r>
          </w:p>
        </w:tc>
        <w:tc>
          <w:tcPr>
            <w:tcW w:w="7020" w:type="dxa"/>
            <w:tcBorders>
              <w:top w:val="nil"/>
              <w:left w:val="nil"/>
              <w:right w:val="nil"/>
            </w:tcBorders>
            <w:shd w:val="clear" w:color="auto" w:fill="auto"/>
            <w:vAlign w:val="bottom"/>
          </w:tcPr>
          <w:p w:rsidR="002E0AC3" w:rsidRDefault="002E0AC3" w:rsidP="00C44308">
            <w:pPr>
              <w:rPr>
                <w:rFonts w:ascii="Arial" w:hAnsi="Arial" w:cs="Arial"/>
                <w:color w:val="548DD4" w:themeColor="text2" w:themeTint="99"/>
                <w:sz w:val="22"/>
                <w:szCs w:val="22"/>
              </w:rPr>
            </w:pPr>
            <w:r>
              <w:rPr>
                <w:rFonts w:ascii="Arial" w:hAnsi="Arial" w:cs="Arial"/>
                <w:color w:val="548DD4" w:themeColor="text2" w:themeTint="99"/>
                <w:sz w:val="22"/>
                <w:szCs w:val="22"/>
              </w:rPr>
              <w:t xml:space="preserve">RD$ </w:t>
            </w:r>
            <w:r w:rsidRPr="002E0AC3">
              <w:rPr>
                <w:rFonts w:ascii="Arial" w:hAnsi="Arial" w:cs="Arial"/>
                <w:color w:val="548DD4" w:themeColor="text2" w:themeTint="99"/>
                <w:sz w:val="22"/>
                <w:szCs w:val="22"/>
              </w:rPr>
              <w:t>23</w:t>
            </w:r>
            <w:r>
              <w:rPr>
                <w:rFonts w:ascii="Arial" w:hAnsi="Arial" w:cs="Arial"/>
                <w:color w:val="548DD4" w:themeColor="text2" w:themeTint="99"/>
                <w:sz w:val="22"/>
                <w:szCs w:val="22"/>
              </w:rPr>
              <w:t>,</w:t>
            </w:r>
            <w:r w:rsidRPr="002E0AC3">
              <w:rPr>
                <w:rFonts w:ascii="Arial" w:hAnsi="Arial" w:cs="Arial"/>
                <w:color w:val="548DD4" w:themeColor="text2" w:themeTint="99"/>
                <w:sz w:val="22"/>
                <w:szCs w:val="22"/>
              </w:rPr>
              <w:t>627</w:t>
            </w:r>
            <w:r>
              <w:rPr>
                <w:rFonts w:ascii="Arial" w:hAnsi="Arial" w:cs="Arial"/>
                <w:color w:val="548DD4" w:themeColor="text2" w:themeTint="99"/>
                <w:sz w:val="22"/>
                <w:szCs w:val="22"/>
              </w:rPr>
              <w:t>,</w:t>
            </w:r>
            <w:r w:rsidRPr="002E0AC3">
              <w:rPr>
                <w:rFonts w:ascii="Arial" w:hAnsi="Arial" w:cs="Arial"/>
                <w:color w:val="548DD4" w:themeColor="text2" w:themeTint="99"/>
                <w:sz w:val="22"/>
                <w:szCs w:val="22"/>
              </w:rPr>
              <w:t>076</w:t>
            </w:r>
            <w:r>
              <w:rPr>
                <w:rFonts w:ascii="Arial" w:hAnsi="Arial" w:cs="Arial"/>
                <w:color w:val="548DD4" w:themeColor="text2" w:themeTint="99"/>
                <w:sz w:val="22"/>
                <w:szCs w:val="22"/>
              </w:rPr>
              <w:t xml:space="preserve">: </w:t>
            </w:r>
          </w:p>
          <w:p w:rsidR="002E0AC3" w:rsidRPr="009637F5" w:rsidRDefault="002E0AC3" w:rsidP="00C44308">
            <w:pPr>
              <w:rPr>
                <w:rFonts w:ascii="Arial" w:hAnsi="Arial" w:cs="Arial"/>
                <w:color w:val="548DD4" w:themeColor="text2" w:themeTint="99"/>
                <w:sz w:val="22"/>
                <w:szCs w:val="22"/>
              </w:rPr>
            </w:pPr>
            <w:r w:rsidRPr="009637F5">
              <w:rPr>
                <w:rFonts w:ascii="Arial" w:hAnsi="Arial" w:cs="Arial"/>
                <w:color w:val="548DD4" w:themeColor="text2" w:themeTint="99"/>
                <w:sz w:val="22"/>
                <w:szCs w:val="22"/>
              </w:rPr>
              <w:t>RD$  17,204, 340</w:t>
            </w:r>
            <w:r>
              <w:rPr>
                <w:rFonts w:ascii="Arial" w:hAnsi="Arial" w:cs="Arial"/>
                <w:color w:val="548DD4" w:themeColor="text2" w:themeTint="99"/>
                <w:sz w:val="22"/>
                <w:szCs w:val="22"/>
              </w:rPr>
              <w:t xml:space="preserve"> (Plan de Negocios) + </w:t>
            </w:r>
          </w:p>
          <w:p w:rsidR="002E0AC3" w:rsidRPr="009637F5" w:rsidRDefault="002E0AC3" w:rsidP="002E0AC3">
            <w:pPr>
              <w:rPr>
                <w:rFonts w:ascii="Arial" w:hAnsi="Arial" w:cs="Arial"/>
                <w:color w:val="548DD4" w:themeColor="text2" w:themeTint="99"/>
                <w:sz w:val="22"/>
                <w:szCs w:val="22"/>
              </w:rPr>
            </w:pPr>
            <w:r w:rsidRPr="009637F5">
              <w:rPr>
                <w:rFonts w:ascii="Arial" w:hAnsi="Arial" w:cs="Arial"/>
                <w:color w:val="548DD4" w:themeColor="text2" w:themeTint="99"/>
                <w:sz w:val="22"/>
                <w:szCs w:val="22"/>
              </w:rPr>
              <w:t xml:space="preserve">RD$ </w:t>
            </w:r>
            <w:r w:rsidRPr="009637F5">
              <w:rPr>
                <w:rFonts w:ascii="Arial" w:hAnsi="Arial" w:cs="Arial"/>
                <w:color w:val="548DD4" w:themeColor="text2" w:themeTint="99"/>
                <w:sz w:val="22"/>
                <w:szCs w:val="22"/>
              </w:rPr>
              <w:t>6,422,736.00</w:t>
            </w:r>
            <w:r>
              <w:rPr>
                <w:rFonts w:ascii="Arial" w:hAnsi="Arial" w:cs="Arial"/>
                <w:color w:val="548DD4" w:themeColor="text2" w:themeTint="99"/>
                <w:sz w:val="22"/>
                <w:szCs w:val="22"/>
              </w:rPr>
              <w:t xml:space="preserve"> (Plan de Apoyo al Encadenamiento Productivo)</w:t>
            </w:r>
          </w:p>
          <w:p w:rsidR="0050445B" w:rsidRPr="00963B64" w:rsidRDefault="0050445B" w:rsidP="00C44308">
            <w:pPr>
              <w:rPr>
                <w:rFonts w:ascii="Arial" w:hAnsi="Arial" w:cs="Arial"/>
                <w:sz w:val="22"/>
                <w:szCs w:val="22"/>
              </w:rPr>
            </w:pPr>
          </w:p>
        </w:tc>
      </w:tr>
      <w:tr w:rsidR="0050445B" w:rsidRPr="00963B64" w:rsidTr="00C44308">
        <w:trPr>
          <w:trHeight w:val="161"/>
        </w:trPr>
        <w:tc>
          <w:tcPr>
            <w:tcW w:w="2808" w:type="dxa"/>
            <w:tcBorders>
              <w:left w:val="nil"/>
              <w:bottom w:val="single" w:sz="4" w:space="0" w:color="auto"/>
              <w:right w:val="nil"/>
            </w:tcBorders>
            <w:shd w:val="clear" w:color="auto" w:fill="auto"/>
          </w:tcPr>
          <w:p w:rsidR="0050445B" w:rsidRPr="00963B64" w:rsidRDefault="0050445B" w:rsidP="00C44308">
            <w:pPr>
              <w:rPr>
                <w:rFonts w:ascii="Arial" w:hAnsi="Arial" w:cs="Arial"/>
                <w:sz w:val="22"/>
                <w:szCs w:val="22"/>
              </w:rPr>
            </w:pPr>
          </w:p>
        </w:tc>
        <w:tc>
          <w:tcPr>
            <w:tcW w:w="7020" w:type="dxa"/>
            <w:tcBorders>
              <w:left w:val="nil"/>
              <w:right w:val="nil"/>
            </w:tcBorders>
            <w:shd w:val="clear" w:color="auto" w:fill="auto"/>
          </w:tcPr>
          <w:p w:rsidR="0050445B" w:rsidRPr="00963B64" w:rsidRDefault="0050445B" w:rsidP="00C44308">
            <w:pPr>
              <w:rPr>
                <w:rFonts w:ascii="Arial" w:hAnsi="Arial" w:cs="Arial"/>
                <w:sz w:val="22"/>
                <w:szCs w:val="22"/>
              </w:rPr>
            </w:pPr>
          </w:p>
        </w:tc>
      </w:tr>
      <w:tr w:rsidR="0050445B" w:rsidRPr="00963B64" w:rsidTr="00B24632">
        <w:tc>
          <w:tcPr>
            <w:tcW w:w="2808" w:type="dxa"/>
            <w:tcBorders>
              <w:bottom w:val="single" w:sz="4" w:space="0" w:color="auto"/>
            </w:tcBorders>
            <w:shd w:val="clear" w:color="auto" w:fill="8DB3E2" w:themeFill="text2" w:themeFillTint="66"/>
            <w:vAlign w:val="center"/>
          </w:tcPr>
          <w:p w:rsidR="0050445B" w:rsidRPr="00963B64" w:rsidRDefault="0050445B" w:rsidP="00C44308">
            <w:pPr>
              <w:rPr>
                <w:rFonts w:ascii="Arial" w:hAnsi="Arial" w:cs="Arial"/>
                <w:sz w:val="22"/>
                <w:szCs w:val="22"/>
              </w:rPr>
            </w:pPr>
            <w:r w:rsidRPr="00963B64">
              <w:rPr>
                <w:rFonts w:ascii="Arial" w:hAnsi="Arial" w:cs="Arial"/>
                <w:sz w:val="22"/>
                <w:szCs w:val="22"/>
              </w:rPr>
              <w:t>Breve descripción del proyecto</w:t>
            </w:r>
          </w:p>
        </w:tc>
        <w:tc>
          <w:tcPr>
            <w:tcW w:w="7020" w:type="dxa"/>
            <w:tcBorders>
              <w:bottom w:val="single" w:sz="4" w:space="0" w:color="auto"/>
            </w:tcBorders>
            <w:shd w:val="clear" w:color="auto" w:fill="auto"/>
            <w:vAlign w:val="center"/>
          </w:tcPr>
          <w:p w:rsidR="008D5390" w:rsidRDefault="002E3576" w:rsidP="00E761A3">
            <w:pPr>
              <w:jc w:val="both"/>
              <w:rPr>
                <w:rFonts w:ascii="Arial" w:hAnsi="Arial" w:cs="Arial"/>
                <w:color w:val="548DD4" w:themeColor="text2" w:themeTint="99"/>
                <w:sz w:val="22"/>
                <w:szCs w:val="22"/>
              </w:rPr>
            </w:pPr>
            <w:r w:rsidRPr="008D5390">
              <w:rPr>
                <w:rFonts w:ascii="Arial" w:hAnsi="Arial" w:cs="Arial"/>
                <w:color w:val="548DD4" w:themeColor="text2" w:themeTint="99"/>
                <w:sz w:val="22"/>
                <w:szCs w:val="22"/>
              </w:rPr>
              <w:t>La idea general del proyecto consiste en el abastecimiento de vegetales, hortalizas y frutas para la demanda local en Monte Plata, entre los que se encuentran los suplidores de 72 centros educativos que conforman el Proyecto de Alimentación Escolar Sostenible (PAES) que implementa el Instituto Nacional de Bienestar Estudiantil (INABIE) en el Distrito Educativo 17-02, a través de:</w:t>
            </w:r>
          </w:p>
          <w:p w:rsidR="008D5390" w:rsidRDefault="008D5390" w:rsidP="00E761A3">
            <w:pPr>
              <w:jc w:val="both"/>
              <w:rPr>
                <w:rFonts w:ascii="Arial" w:hAnsi="Arial" w:cs="Arial"/>
                <w:color w:val="548DD4" w:themeColor="text2" w:themeTint="99"/>
                <w:sz w:val="22"/>
                <w:szCs w:val="22"/>
              </w:rPr>
            </w:pPr>
          </w:p>
          <w:p w:rsidR="008D5390" w:rsidRPr="008D5390" w:rsidRDefault="008D5390" w:rsidP="008D5390">
            <w:pPr>
              <w:pStyle w:val="ListParagraph"/>
              <w:numPr>
                <w:ilvl w:val="0"/>
                <w:numId w:val="7"/>
              </w:numPr>
              <w:jc w:val="both"/>
              <w:rPr>
                <w:rFonts w:ascii="Arial" w:hAnsi="Arial" w:cs="Arial"/>
                <w:color w:val="548DD4" w:themeColor="text2" w:themeTint="99"/>
              </w:rPr>
            </w:pPr>
            <w:r>
              <w:rPr>
                <w:rFonts w:ascii="Arial" w:hAnsi="Arial" w:cs="Arial"/>
                <w:color w:val="548DD4" w:themeColor="text2" w:themeTint="99"/>
              </w:rPr>
              <w:t>H</w:t>
            </w:r>
            <w:r w:rsidR="002E3576" w:rsidRPr="008D5390">
              <w:rPr>
                <w:rFonts w:ascii="Arial" w:hAnsi="Arial" w:cs="Arial"/>
                <w:color w:val="548DD4" w:themeColor="text2" w:themeTint="99"/>
              </w:rPr>
              <w:t>abilitación de 7 espacios de producción  de hortalizas de forma semi-protegida (casa sombra);</w:t>
            </w:r>
          </w:p>
          <w:p w:rsidR="00B24632" w:rsidRPr="00963B64" w:rsidRDefault="008D5390" w:rsidP="00E761A3">
            <w:pPr>
              <w:jc w:val="both"/>
              <w:rPr>
                <w:rFonts w:ascii="Arial" w:hAnsi="Arial" w:cs="Arial"/>
                <w:sz w:val="22"/>
                <w:szCs w:val="22"/>
              </w:rPr>
            </w:pPr>
            <w:r>
              <w:rPr>
                <w:rFonts w:ascii="Arial" w:hAnsi="Arial" w:cs="Arial"/>
                <w:color w:val="548DD4" w:themeColor="text2" w:themeTint="99"/>
                <w:sz w:val="22"/>
                <w:szCs w:val="22"/>
              </w:rPr>
              <w:t xml:space="preserve"> b)  H</w:t>
            </w:r>
            <w:r w:rsidR="002E3576" w:rsidRPr="008D5390">
              <w:rPr>
                <w:rFonts w:ascii="Arial" w:hAnsi="Arial" w:cs="Arial"/>
                <w:color w:val="548DD4" w:themeColor="text2" w:themeTint="99"/>
                <w:sz w:val="22"/>
                <w:szCs w:val="22"/>
              </w:rPr>
              <w:t>abilitación de 493.00 tareas para producción a cielo abierto.</w:t>
            </w:r>
          </w:p>
        </w:tc>
      </w:tr>
      <w:tr w:rsidR="0050445B" w:rsidRPr="00963B64" w:rsidTr="00C44308">
        <w:trPr>
          <w:trHeight w:val="70"/>
        </w:trPr>
        <w:tc>
          <w:tcPr>
            <w:tcW w:w="2808" w:type="dxa"/>
            <w:tcBorders>
              <w:left w:val="nil"/>
              <w:right w:val="nil"/>
            </w:tcBorders>
            <w:shd w:val="clear" w:color="auto" w:fill="auto"/>
            <w:vAlign w:val="center"/>
          </w:tcPr>
          <w:p w:rsidR="0050445B" w:rsidRPr="00963B64" w:rsidRDefault="0050445B" w:rsidP="00C44308">
            <w:pPr>
              <w:rPr>
                <w:rFonts w:ascii="Arial" w:hAnsi="Arial" w:cs="Arial"/>
                <w:sz w:val="8"/>
                <w:szCs w:val="8"/>
              </w:rPr>
            </w:pPr>
          </w:p>
        </w:tc>
        <w:tc>
          <w:tcPr>
            <w:tcW w:w="7020" w:type="dxa"/>
            <w:tcBorders>
              <w:left w:val="nil"/>
              <w:right w:val="nil"/>
            </w:tcBorders>
            <w:shd w:val="clear" w:color="auto" w:fill="auto"/>
            <w:vAlign w:val="center"/>
          </w:tcPr>
          <w:p w:rsidR="0050445B" w:rsidRPr="00963B64" w:rsidRDefault="0050445B" w:rsidP="00C44308">
            <w:pPr>
              <w:jc w:val="both"/>
              <w:rPr>
                <w:rFonts w:ascii="Arial" w:hAnsi="Arial" w:cs="Arial"/>
                <w:sz w:val="8"/>
                <w:szCs w:val="8"/>
              </w:rPr>
            </w:pPr>
          </w:p>
          <w:p w:rsidR="0050445B" w:rsidRPr="00963B64" w:rsidRDefault="0050445B" w:rsidP="00C44308">
            <w:pPr>
              <w:jc w:val="both"/>
              <w:rPr>
                <w:rFonts w:ascii="Arial" w:hAnsi="Arial" w:cs="Arial"/>
                <w:sz w:val="8"/>
                <w:szCs w:val="8"/>
              </w:rPr>
            </w:pPr>
          </w:p>
        </w:tc>
      </w:tr>
      <w:tr w:rsidR="0050445B" w:rsidRPr="00963B64" w:rsidTr="00B24632">
        <w:tc>
          <w:tcPr>
            <w:tcW w:w="2808" w:type="dxa"/>
            <w:shd w:val="clear" w:color="auto" w:fill="8DB3E2" w:themeFill="text2" w:themeFillTint="66"/>
            <w:vAlign w:val="center"/>
          </w:tcPr>
          <w:p w:rsidR="00B24632" w:rsidRDefault="00B24632" w:rsidP="00C44308">
            <w:pPr>
              <w:rPr>
                <w:rFonts w:ascii="Arial" w:hAnsi="Arial" w:cs="Arial"/>
                <w:sz w:val="22"/>
                <w:szCs w:val="22"/>
              </w:rPr>
            </w:pPr>
          </w:p>
          <w:p w:rsidR="00B24632" w:rsidRDefault="00B24632" w:rsidP="00B24632">
            <w:pPr>
              <w:shd w:val="clear" w:color="auto" w:fill="8DB3E2" w:themeFill="text2" w:themeFillTint="66"/>
              <w:rPr>
                <w:rFonts w:ascii="Arial" w:hAnsi="Arial" w:cs="Arial"/>
                <w:sz w:val="22"/>
                <w:szCs w:val="22"/>
              </w:rPr>
            </w:pPr>
            <w:r>
              <w:rPr>
                <w:rFonts w:ascii="Arial" w:hAnsi="Arial" w:cs="Arial"/>
                <w:sz w:val="22"/>
                <w:szCs w:val="22"/>
              </w:rPr>
              <w:t xml:space="preserve">Objetivo General </w:t>
            </w:r>
          </w:p>
          <w:p w:rsidR="00B24632" w:rsidRDefault="00B24632" w:rsidP="00B24632">
            <w:pPr>
              <w:shd w:val="clear" w:color="auto" w:fill="8DB3E2" w:themeFill="text2" w:themeFillTint="66"/>
              <w:rPr>
                <w:rFonts w:ascii="Arial" w:hAnsi="Arial" w:cs="Arial"/>
                <w:sz w:val="22"/>
                <w:szCs w:val="22"/>
              </w:rPr>
            </w:pPr>
          </w:p>
          <w:p w:rsidR="00B24632" w:rsidRPr="00963B64" w:rsidRDefault="00B24632" w:rsidP="00C44308">
            <w:pPr>
              <w:rPr>
                <w:rFonts w:ascii="Arial" w:hAnsi="Arial" w:cs="Arial"/>
                <w:sz w:val="22"/>
                <w:szCs w:val="22"/>
              </w:rPr>
            </w:pPr>
          </w:p>
        </w:tc>
        <w:tc>
          <w:tcPr>
            <w:tcW w:w="7020" w:type="dxa"/>
            <w:shd w:val="clear" w:color="auto" w:fill="auto"/>
            <w:vAlign w:val="center"/>
          </w:tcPr>
          <w:p w:rsidR="0050445B" w:rsidRPr="00963B64" w:rsidRDefault="008D5390" w:rsidP="00163766">
            <w:pPr>
              <w:jc w:val="both"/>
              <w:rPr>
                <w:rFonts w:ascii="Arial" w:hAnsi="Arial" w:cs="Arial"/>
                <w:sz w:val="22"/>
                <w:szCs w:val="22"/>
              </w:rPr>
            </w:pPr>
            <w:r w:rsidRPr="008D5390">
              <w:rPr>
                <w:rFonts w:ascii="Arial" w:hAnsi="Arial" w:cs="Arial"/>
                <w:color w:val="548DD4" w:themeColor="text2" w:themeTint="99"/>
                <w:sz w:val="22"/>
                <w:szCs w:val="22"/>
              </w:rPr>
              <w:t>Fortalecer la estructura productiva de los agricultores locales familiares de Monte Planta; con miras de garantizar su participación como suplidores de vegetales, hortalizas y frutas a las escuelas del territorio y su capacidad de acceso a otros mercados.</w:t>
            </w:r>
          </w:p>
        </w:tc>
      </w:tr>
      <w:tr w:rsidR="0050445B" w:rsidRPr="00963B64" w:rsidTr="00C44308">
        <w:trPr>
          <w:trHeight w:val="70"/>
        </w:trPr>
        <w:tc>
          <w:tcPr>
            <w:tcW w:w="2808" w:type="dxa"/>
            <w:tcBorders>
              <w:left w:val="nil"/>
              <w:bottom w:val="single" w:sz="4" w:space="0" w:color="auto"/>
              <w:right w:val="nil"/>
            </w:tcBorders>
            <w:shd w:val="clear" w:color="auto" w:fill="auto"/>
            <w:vAlign w:val="center"/>
          </w:tcPr>
          <w:p w:rsidR="0050445B" w:rsidRPr="00963B64" w:rsidRDefault="0050445B" w:rsidP="00C44308">
            <w:pPr>
              <w:rPr>
                <w:rFonts w:ascii="Arial" w:hAnsi="Arial" w:cs="Arial"/>
                <w:sz w:val="8"/>
                <w:szCs w:val="8"/>
              </w:rPr>
            </w:pPr>
          </w:p>
        </w:tc>
        <w:tc>
          <w:tcPr>
            <w:tcW w:w="7020" w:type="dxa"/>
            <w:tcBorders>
              <w:left w:val="nil"/>
              <w:right w:val="nil"/>
            </w:tcBorders>
            <w:shd w:val="clear" w:color="auto" w:fill="auto"/>
          </w:tcPr>
          <w:p w:rsidR="0050445B" w:rsidRPr="00963B64" w:rsidRDefault="0050445B" w:rsidP="00C44308">
            <w:pPr>
              <w:rPr>
                <w:rFonts w:ascii="Arial" w:hAnsi="Arial" w:cs="Arial"/>
                <w:sz w:val="8"/>
                <w:szCs w:val="8"/>
              </w:rPr>
            </w:pPr>
          </w:p>
          <w:p w:rsidR="0050445B" w:rsidRPr="00963B64" w:rsidRDefault="0050445B" w:rsidP="00C44308">
            <w:pPr>
              <w:rPr>
                <w:rFonts w:ascii="Arial" w:hAnsi="Arial" w:cs="Arial"/>
                <w:sz w:val="8"/>
                <w:szCs w:val="8"/>
              </w:rPr>
            </w:pPr>
          </w:p>
        </w:tc>
      </w:tr>
      <w:tr w:rsidR="0050445B" w:rsidRPr="00963B64" w:rsidTr="00E540E3">
        <w:tc>
          <w:tcPr>
            <w:tcW w:w="2808" w:type="dxa"/>
            <w:tcBorders>
              <w:bottom w:val="single" w:sz="4" w:space="0" w:color="auto"/>
            </w:tcBorders>
            <w:shd w:val="clear" w:color="auto" w:fill="8DB3E2" w:themeFill="text2" w:themeFillTint="66"/>
            <w:vAlign w:val="center"/>
          </w:tcPr>
          <w:p w:rsidR="0050445B" w:rsidRPr="00963B64" w:rsidRDefault="00E540E3" w:rsidP="00C44308">
            <w:pPr>
              <w:rPr>
                <w:rFonts w:ascii="Arial" w:hAnsi="Arial" w:cs="Arial"/>
                <w:sz w:val="22"/>
                <w:szCs w:val="22"/>
              </w:rPr>
            </w:pPr>
            <w:r>
              <w:rPr>
                <w:rFonts w:ascii="Arial" w:hAnsi="Arial" w:cs="Arial"/>
                <w:sz w:val="22"/>
                <w:szCs w:val="22"/>
              </w:rPr>
              <w:t xml:space="preserve">Objetivo Especifico </w:t>
            </w:r>
          </w:p>
        </w:tc>
        <w:tc>
          <w:tcPr>
            <w:tcW w:w="7020" w:type="dxa"/>
            <w:tcBorders>
              <w:bottom w:val="single" w:sz="4" w:space="0" w:color="auto"/>
            </w:tcBorders>
            <w:shd w:val="clear" w:color="auto" w:fill="auto"/>
          </w:tcPr>
          <w:p w:rsidR="00706CD9" w:rsidRPr="007A69E3" w:rsidRDefault="00E761A3" w:rsidP="00706CD9">
            <w:pPr>
              <w:pStyle w:val="ListParagraph"/>
              <w:numPr>
                <w:ilvl w:val="0"/>
                <w:numId w:val="5"/>
              </w:numPr>
              <w:jc w:val="both"/>
              <w:rPr>
                <w:rFonts w:ascii="Arial" w:hAnsi="Arial" w:cs="Arial"/>
                <w:i/>
                <w:color w:val="548DD4" w:themeColor="text2" w:themeTint="99"/>
              </w:rPr>
            </w:pPr>
            <w:r w:rsidRPr="007A69E3">
              <w:rPr>
                <w:rFonts w:ascii="Arial" w:hAnsi="Arial" w:cs="Arial"/>
                <w:i/>
                <w:color w:val="548DD4" w:themeColor="text2" w:themeTint="99"/>
              </w:rPr>
              <w:t xml:space="preserve"> </w:t>
            </w:r>
            <w:r w:rsidR="00706CD9" w:rsidRPr="007A69E3">
              <w:rPr>
                <w:rFonts w:ascii="Arial" w:hAnsi="Arial" w:cs="Arial"/>
                <w:i/>
                <w:color w:val="548DD4" w:themeColor="text2" w:themeTint="99"/>
              </w:rPr>
              <w:t xml:space="preserve">Aumentar el consumo de productos frescos agropecuarios en escuelas; </w:t>
            </w:r>
          </w:p>
          <w:p w:rsidR="00706CD9" w:rsidRPr="007A69E3" w:rsidRDefault="00706CD9" w:rsidP="00706CD9">
            <w:pPr>
              <w:pStyle w:val="ListParagraph"/>
              <w:numPr>
                <w:ilvl w:val="0"/>
                <w:numId w:val="5"/>
              </w:numPr>
              <w:jc w:val="both"/>
              <w:rPr>
                <w:rFonts w:ascii="Arial" w:hAnsi="Arial" w:cs="Arial"/>
                <w:i/>
                <w:color w:val="548DD4" w:themeColor="text2" w:themeTint="99"/>
              </w:rPr>
            </w:pPr>
            <w:r w:rsidRPr="007A69E3">
              <w:rPr>
                <w:rFonts w:ascii="Arial" w:hAnsi="Arial" w:cs="Arial"/>
                <w:i/>
                <w:color w:val="548DD4" w:themeColor="text2" w:themeTint="99"/>
              </w:rPr>
              <w:t xml:space="preserve">Fortalecer las capacidades productivas y de comercialización en Agricultura Familiar; </w:t>
            </w:r>
          </w:p>
          <w:p w:rsidR="00706CD9" w:rsidRPr="007A69E3" w:rsidRDefault="00706CD9" w:rsidP="00706CD9">
            <w:pPr>
              <w:pStyle w:val="ListParagraph"/>
              <w:numPr>
                <w:ilvl w:val="0"/>
                <w:numId w:val="5"/>
              </w:numPr>
              <w:jc w:val="both"/>
              <w:rPr>
                <w:rFonts w:ascii="Arial" w:hAnsi="Arial" w:cs="Arial"/>
                <w:i/>
                <w:color w:val="548DD4" w:themeColor="text2" w:themeTint="99"/>
              </w:rPr>
            </w:pPr>
            <w:r w:rsidRPr="007A69E3">
              <w:rPr>
                <w:rFonts w:ascii="Arial" w:hAnsi="Arial" w:cs="Arial"/>
                <w:i/>
                <w:color w:val="548DD4" w:themeColor="text2" w:themeTint="99"/>
              </w:rPr>
              <w:t xml:space="preserve">Construir las capacidades de asociatividad en Agricultura Familiar; </w:t>
            </w:r>
          </w:p>
          <w:p w:rsidR="00E540E3" w:rsidRPr="007A69E3" w:rsidRDefault="00706CD9" w:rsidP="00706CD9">
            <w:pPr>
              <w:pStyle w:val="ListParagraph"/>
              <w:numPr>
                <w:ilvl w:val="0"/>
                <w:numId w:val="5"/>
              </w:numPr>
              <w:jc w:val="both"/>
              <w:rPr>
                <w:rFonts w:ascii="Arial" w:hAnsi="Arial" w:cs="Arial"/>
                <w:i/>
                <w:color w:val="548DD4" w:themeColor="text2" w:themeTint="99"/>
              </w:rPr>
            </w:pPr>
            <w:r w:rsidRPr="007A69E3">
              <w:rPr>
                <w:rFonts w:ascii="Arial" w:hAnsi="Arial" w:cs="Arial"/>
                <w:i/>
                <w:color w:val="548DD4" w:themeColor="text2" w:themeTint="99"/>
              </w:rPr>
              <w:t xml:space="preserve">Promover la agricultura sostenible </w:t>
            </w:r>
            <w:r w:rsidR="007A69E3" w:rsidRPr="007A69E3">
              <w:rPr>
                <w:rFonts w:ascii="Arial" w:hAnsi="Arial" w:cs="Arial"/>
                <w:i/>
                <w:color w:val="548DD4" w:themeColor="text2" w:themeTint="99"/>
              </w:rPr>
              <w:t>y adaptable al cambio climático.</w:t>
            </w:r>
          </w:p>
          <w:p w:rsidR="00E540E3" w:rsidRPr="00963B64" w:rsidRDefault="00E540E3" w:rsidP="0050445B">
            <w:pPr>
              <w:jc w:val="both"/>
              <w:rPr>
                <w:rFonts w:ascii="Arial" w:hAnsi="Arial" w:cs="Arial"/>
                <w:i/>
                <w:sz w:val="19"/>
                <w:szCs w:val="19"/>
              </w:rPr>
            </w:pPr>
          </w:p>
        </w:tc>
      </w:tr>
      <w:tr w:rsidR="0050445B" w:rsidRPr="00963B64" w:rsidTr="00C44308">
        <w:tc>
          <w:tcPr>
            <w:tcW w:w="2808" w:type="dxa"/>
            <w:tcBorders>
              <w:left w:val="nil"/>
              <w:right w:val="nil"/>
            </w:tcBorders>
            <w:shd w:val="clear" w:color="auto" w:fill="auto"/>
            <w:vAlign w:val="center"/>
          </w:tcPr>
          <w:p w:rsidR="0050445B" w:rsidRPr="00963B64" w:rsidRDefault="0050445B" w:rsidP="00C44308">
            <w:pPr>
              <w:rPr>
                <w:rFonts w:ascii="Arial" w:hAnsi="Arial" w:cs="Arial"/>
                <w:sz w:val="22"/>
                <w:szCs w:val="22"/>
              </w:rPr>
            </w:pPr>
          </w:p>
        </w:tc>
        <w:tc>
          <w:tcPr>
            <w:tcW w:w="7020" w:type="dxa"/>
            <w:tcBorders>
              <w:left w:val="nil"/>
              <w:right w:val="nil"/>
            </w:tcBorders>
            <w:shd w:val="clear" w:color="auto" w:fill="auto"/>
          </w:tcPr>
          <w:p w:rsidR="0050445B" w:rsidRPr="00963B64" w:rsidRDefault="0050445B" w:rsidP="00C44308">
            <w:pPr>
              <w:jc w:val="both"/>
              <w:rPr>
                <w:rFonts w:ascii="Arial" w:hAnsi="Arial" w:cs="Arial"/>
                <w:sz w:val="19"/>
                <w:szCs w:val="19"/>
              </w:rPr>
            </w:pPr>
          </w:p>
        </w:tc>
      </w:tr>
      <w:tr w:rsidR="0050445B" w:rsidRPr="00963B64" w:rsidTr="00E540E3">
        <w:tc>
          <w:tcPr>
            <w:tcW w:w="2808" w:type="dxa"/>
            <w:shd w:val="clear" w:color="auto" w:fill="8DB3E2" w:themeFill="text2" w:themeFillTint="66"/>
            <w:vAlign w:val="center"/>
          </w:tcPr>
          <w:p w:rsidR="0050445B" w:rsidRPr="00963B64" w:rsidRDefault="00E540E3" w:rsidP="00C44308">
            <w:pPr>
              <w:rPr>
                <w:rFonts w:ascii="Arial" w:hAnsi="Arial" w:cs="Arial"/>
                <w:sz w:val="22"/>
                <w:szCs w:val="22"/>
              </w:rPr>
            </w:pPr>
            <w:r>
              <w:rPr>
                <w:rFonts w:ascii="Arial" w:hAnsi="Arial" w:cs="Arial"/>
                <w:sz w:val="22"/>
                <w:szCs w:val="22"/>
              </w:rPr>
              <w:t xml:space="preserve">Resultados Esperados </w:t>
            </w:r>
            <w:r w:rsidR="009F267F">
              <w:rPr>
                <w:rFonts w:ascii="Arial" w:hAnsi="Arial" w:cs="Arial"/>
                <w:sz w:val="22"/>
                <w:szCs w:val="22"/>
              </w:rPr>
              <w:t xml:space="preserve">del proyecto </w:t>
            </w:r>
          </w:p>
        </w:tc>
        <w:tc>
          <w:tcPr>
            <w:tcW w:w="7020" w:type="dxa"/>
            <w:shd w:val="clear" w:color="auto" w:fill="auto"/>
          </w:tcPr>
          <w:p w:rsidR="00E540E3"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Producir hortalizas bajo sistema semi-protegido (casa sombra) en Monte Plata, zona de alta pluviometría que dificulta el cultivo de hortalizas.</w:t>
            </w:r>
          </w:p>
          <w:p w:rsidR="008D5390"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Que los/las agricultores familiares adopten y mantenga las Buenas Prácticas Agrícolas (BPA) y las Buenas Prácticas de Manejo (BPM).</w:t>
            </w:r>
          </w:p>
          <w:p w:rsidR="008D5390"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Que los/las agricultores familiares se articulen efectivamente a la cadena productiva del PAE.</w:t>
            </w:r>
          </w:p>
          <w:p w:rsidR="008D5390"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Que los/las agricultores familiares puedan consolidar y mantener su asociatividad a través de la cooperativa COOPAPFAMOPLA.</w:t>
            </w:r>
          </w:p>
          <w:p w:rsidR="008D5390"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76 agricultores/as familiares y 23 asociados de Monte Plata están integrados en la Cooperativa de Agricultores y Agricultoras Familiares de Monte Plata. COOPAPFAMOPLA, fortalecido su nivel organizativo-productivo y cuentan con la debida acreditación como proveedores del PAE.</w:t>
            </w:r>
          </w:p>
          <w:p w:rsidR="008D5390" w:rsidRPr="008D5390" w:rsidRDefault="008D5390" w:rsidP="008D5390">
            <w:pPr>
              <w:pStyle w:val="ListParagraph"/>
              <w:numPr>
                <w:ilvl w:val="0"/>
                <w:numId w:val="6"/>
              </w:numPr>
              <w:jc w:val="both"/>
              <w:rPr>
                <w:rFonts w:ascii="Arial" w:hAnsi="Arial" w:cs="Arial"/>
                <w:color w:val="548DD4" w:themeColor="text2" w:themeTint="99"/>
              </w:rPr>
            </w:pPr>
            <w:r w:rsidRPr="008D5390">
              <w:rPr>
                <w:rFonts w:ascii="Arial" w:hAnsi="Arial" w:cs="Arial"/>
                <w:color w:val="548DD4" w:themeColor="text2" w:themeTint="99"/>
              </w:rPr>
              <w:t>76 agricultores/as familiares y 23 asociados de Monte Plata han aumentado sus ingresos por medio de la producción de frutas y vegetales, guiados por el plan de negocios y el acompañamiento técnico especializado, al comercializar los productos que generan y con la garantía de compra del INABIE.</w:t>
            </w:r>
          </w:p>
          <w:p w:rsidR="008D5390" w:rsidRPr="008D5390" w:rsidRDefault="008D5390" w:rsidP="008D5390">
            <w:pPr>
              <w:pStyle w:val="ListParagraph"/>
              <w:numPr>
                <w:ilvl w:val="0"/>
                <w:numId w:val="6"/>
              </w:numPr>
              <w:jc w:val="both"/>
              <w:rPr>
                <w:rFonts w:ascii="Arial" w:hAnsi="Arial" w:cs="Arial"/>
                <w:color w:val="0070C0"/>
              </w:rPr>
            </w:pPr>
            <w:r w:rsidRPr="008D5390">
              <w:rPr>
                <w:rFonts w:ascii="Arial" w:hAnsi="Arial" w:cs="Arial"/>
                <w:color w:val="548DD4" w:themeColor="text2" w:themeTint="99"/>
              </w:rPr>
              <w:t>Ha aumentado la cantidad de agricultores familiares/as familiares calificados para suplir al programa de alimentación escolar al mostrar evidencia de que utilizan buenas prácticas agrícolas, utilizan tecnologías agrícolas acordes con los requerimientos de calidad e inocuidad que demanda el PAE y el mercado en genera</w:t>
            </w:r>
            <w:r>
              <w:rPr>
                <w:rFonts w:ascii="Arial" w:hAnsi="Arial" w:cs="Arial"/>
                <w:color w:val="548DD4" w:themeColor="text2" w:themeTint="99"/>
              </w:rPr>
              <w:t>l.</w:t>
            </w:r>
          </w:p>
          <w:p w:rsidR="008D5390" w:rsidRPr="008D5390" w:rsidRDefault="008D5390" w:rsidP="008D5390">
            <w:pPr>
              <w:pStyle w:val="ListParagraph"/>
              <w:numPr>
                <w:ilvl w:val="0"/>
                <w:numId w:val="6"/>
              </w:numPr>
              <w:jc w:val="both"/>
              <w:rPr>
                <w:rFonts w:ascii="Arial" w:hAnsi="Arial" w:cs="Arial"/>
                <w:color w:val="0070C0"/>
              </w:rPr>
            </w:pPr>
            <w:r w:rsidRPr="008D5390">
              <w:rPr>
                <w:rFonts w:ascii="Arial" w:hAnsi="Arial" w:cs="Arial"/>
                <w:color w:val="548DD4" w:themeColor="text2" w:themeTint="99"/>
              </w:rPr>
              <w:t>COOPAPFAMOPLA y cada productor/ra de manera individual cuenta y lleva a cabo planes de siembras, metas de cosecha y métodos de manejo en finca acorde con los estándares establecidos del mercado.</w:t>
            </w:r>
          </w:p>
        </w:tc>
      </w:tr>
    </w:tbl>
    <w:p w:rsidR="00F36C6E" w:rsidRDefault="00F36C6E" w:rsidP="00C02F74">
      <w:pPr>
        <w:ind w:right="119"/>
        <w:jc w:val="both"/>
        <w:rPr>
          <w:rFonts w:ascii="Arial" w:hAnsi="Arial" w:cs="Arial"/>
          <w:sz w:val="18"/>
          <w:szCs w:val="18"/>
        </w:rPr>
      </w:pPr>
    </w:p>
    <w:sectPr w:rsidR="00F36C6E" w:rsidSect="00A85AB5">
      <w:headerReference w:type="default" r:id="rId7"/>
      <w:pgSz w:w="11906" w:h="16838"/>
      <w:pgMar w:top="1560" w:right="566" w:bottom="1276"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61" w:rsidRDefault="00494B61" w:rsidP="00CE414D">
      <w:r>
        <w:separator/>
      </w:r>
    </w:p>
  </w:endnote>
  <w:endnote w:type="continuationSeparator" w:id="0">
    <w:p w:rsidR="00494B61" w:rsidRDefault="00494B61" w:rsidP="00C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61" w:rsidRDefault="00494B61" w:rsidP="00CE414D">
      <w:r>
        <w:separator/>
      </w:r>
    </w:p>
  </w:footnote>
  <w:footnote w:type="continuationSeparator" w:id="0">
    <w:p w:rsidR="00494B61" w:rsidRDefault="00494B61" w:rsidP="00CE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99" w:rsidRDefault="00D35499" w:rsidP="00D35499">
    <w:pPr>
      <w:pStyle w:val="Header"/>
      <w:jc w:val="center"/>
      <w:rPr>
        <w:rFonts w:ascii="Palatino Linotype" w:hAnsi="Palatino Linotype"/>
        <w:b/>
        <w:sz w:val="32"/>
        <w:szCs w:val="32"/>
      </w:rPr>
    </w:pPr>
  </w:p>
  <w:p w:rsidR="00D35499" w:rsidRDefault="00D35499" w:rsidP="00D35499">
    <w:pPr>
      <w:pStyle w:val="Header"/>
      <w:jc w:val="center"/>
      <w:rPr>
        <w:rFonts w:ascii="Palatino Linotype" w:hAnsi="Palatino Linotype"/>
        <w:b/>
        <w:sz w:val="32"/>
        <w:szCs w:val="32"/>
      </w:rPr>
    </w:pPr>
    <w:r>
      <w:rPr>
        <w:noProof/>
      </w:rPr>
      <w:drawing>
        <wp:inline distT="0" distB="0" distL="0" distR="0" wp14:anchorId="66EDF8E6" wp14:editId="52727BC0">
          <wp:extent cx="1580421" cy="580929"/>
          <wp:effectExtent l="0" t="0" r="127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AB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842" cy="594316"/>
                  </a:xfrm>
                  <a:prstGeom prst="rect">
                    <a:avLst/>
                  </a:prstGeom>
                </pic:spPr>
              </pic:pic>
            </a:graphicData>
          </a:graphic>
        </wp:inline>
      </w:drawing>
    </w:r>
  </w:p>
  <w:p w:rsidR="00D35499" w:rsidRPr="007873B6" w:rsidRDefault="00D35499" w:rsidP="00D35499">
    <w:pPr>
      <w:pStyle w:val="Header"/>
      <w:jc w:val="center"/>
      <w:rPr>
        <w:rFonts w:ascii="Palatino Linotype" w:hAnsi="Palatino Linotype"/>
        <w:b/>
        <w:sz w:val="32"/>
        <w:szCs w:val="32"/>
      </w:rPr>
    </w:pPr>
    <w:r w:rsidRPr="007873B6">
      <w:rPr>
        <w:rFonts w:ascii="Palatino Linotype" w:hAnsi="Palatino Linotype"/>
        <w:b/>
        <w:sz w:val="32"/>
        <w:szCs w:val="32"/>
      </w:rPr>
      <w:t xml:space="preserve">Instituto Nacional de Bienestar Estudiantil </w:t>
    </w:r>
  </w:p>
  <w:p w:rsidR="00D35499" w:rsidRPr="007873B6" w:rsidRDefault="00D35499" w:rsidP="00D35499">
    <w:pPr>
      <w:pStyle w:val="Header"/>
      <w:jc w:val="center"/>
      <w:rPr>
        <w:rFonts w:ascii="Palatino Linotype" w:hAnsi="Palatino Linotype"/>
        <w:b/>
        <w:sz w:val="32"/>
        <w:szCs w:val="32"/>
      </w:rPr>
    </w:pPr>
    <w:r w:rsidRPr="007873B6">
      <w:rPr>
        <w:rFonts w:ascii="Palatino Linotype" w:hAnsi="Palatino Linotype"/>
        <w:b/>
        <w:sz w:val="32"/>
        <w:szCs w:val="32"/>
      </w:rPr>
      <w:t>Dirección de Planificación y Desarrollo</w:t>
    </w:r>
  </w:p>
  <w:p w:rsidR="00D35499" w:rsidRPr="007873B6" w:rsidRDefault="00D35499" w:rsidP="00D35499">
    <w:pPr>
      <w:pStyle w:val="Header"/>
      <w:jc w:val="center"/>
      <w:rPr>
        <w:rFonts w:ascii="Palatino Linotype" w:hAnsi="Palatino Linotype"/>
        <w:b/>
      </w:rPr>
    </w:pPr>
    <w:r w:rsidRPr="007873B6">
      <w:rPr>
        <w:rFonts w:ascii="Palatino Linotype" w:hAnsi="Palatino Linotype"/>
        <w:b/>
      </w:rPr>
      <w:t>Departamento de Formulación, Monitoreo y Evaluación PPP</w:t>
    </w:r>
  </w:p>
  <w:p w:rsidR="00D35499" w:rsidRDefault="00D35499" w:rsidP="00D35499">
    <w:pPr>
      <w:jc w:val="center"/>
      <w:rPr>
        <w:rFonts w:ascii="Palatino Linotype" w:hAnsi="Palatino Linotype"/>
        <w:i/>
      </w:rPr>
    </w:pPr>
    <w:r w:rsidRPr="003C2A7D">
      <w:rPr>
        <w:rFonts w:ascii="Palatino Linotype" w:hAnsi="Palatino Linotype"/>
        <w:i/>
      </w:rPr>
      <w:t>“Año de</w:t>
    </w:r>
    <w:r>
      <w:rPr>
        <w:rFonts w:ascii="Palatino Linotype" w:hAnsi="Palatino Linotype"/>
        <w:i/>
      </w:rPr>
      <w:t>l Fomento a las Exportaciones</w:t>
    </w:r>
    <w:r w:rsidRPr="003C2A7D">
      <w:rPr>
        <w:rFonts w:ascii="Palatino Linotype" w:hAnsi="Palatino Linotype"/>
        <w:i/>
      </w:rPr>
      <w:t>”</w:t>
    </w:r>
  </w:p>
  <w:p w:rsidR="00D35499" w:rsidRDefault="00D35499" w:rsidP="00D35499">
    <w:pPr>
      <w:rPr>
        <w:color w:val="FF0000"/>
      </w:rPr>
    </w:pPr>
  </w:p>
  <w:p w:rsidR="00CE414D" w:rsidRDefault="00CE414D" w:rsidP="00CE41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39D"/>
    <w:multiLevelType w:val="hybridMultilevel"/>
    <w:tmpl w:val="F784252C"/>
    <w:lvl w:ilvl="0" w:tplc="B3C62692">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80561BF"/>
    <w:multiLevelType w:val="hybridMultilevel"/>
    <w:tmpl w:val="C1D6AD9A"/>
    <w:lvl w:ilvl="0" w:tplc="51882160">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45B561A3"/>
    <w:multiLevelType w:val="hybridMultilevel"/>
    <w:tmpl w:val="060C6022"/>
    <w:lvl w:ilvl="0" w:tplc="B3C6269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2A073A"/>
    <w:multiLevelType w:val="hybridMultilevel"/>
    <w:tmpl w:val="E2A0C3DA"/>
    <w:lvl w:ilvl="0" w:tplc="B3C6269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EB2847"/>
    <w:multiLevelType w:val="hybridMultilevel"/>
    <w:tmpl w:val="9DC40504"/>
    <w:lvl w:ilvl="0" w:tplc="1E0AE2E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6167D2"/>
    <w:multiLevelType w:val="hybridMultilevel"/>
    <w:tmpl w:val="7174E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5B"/>
    <w:rsid w:val="00072731"/>
    <w:rsid w:val="000C6D22"/>
    <w:rsid w:val="000F0AEB"/>
    <w:rsid w:val="00163766"/>
    <w:rsid w:val="00192540"/>
    <w:rsid w:val="001E44A7"/>
    <w:rsid w:val="0026053E"/>
    <w:rsid w:val="002D6ABC"/>
    <w:rsid w:val="002E0AC3"/>
    <w:rsid w:val="002E3576"/>
    <w:rsid w:val="00401EDF"/>
    <w:rsid w:val="00494B61"/>
    <w:rsid w:val="0050445B"/>
    <w:rsid w:val="006041EE"/>
    <w:rsid w:val="00680177"/>
    <w:rsid w:val="00706CD9"/>
    <w:rsid w:val="007A69E3"/>
    <w:rsid w:val="008207B5"/>
    <w:rsid w:val="008642E4"/>
    <w:rsid w:val="008D5390"/>
    <w:rsid w:val="00933F58"/>
    <w:rsid w:val="00943FBE"/>
    <w:rsid w:val="009637F5"/>
    <w:rsid w:val="00967F5A"/>
    <w:rsid w:val="009C1F74"/>
    <w:rsid w:val="009F267F"/>
    <w:rsid w:val="00A40D77"/>
    <w:rsid w:val="00A85AB5"/>
    <w:rsid w:val="00B24632"/>
    <w:rsid w:val="00BB7477"/>
    <w:rsid w:val="00BE3782"/>
    <w:rsid w:val="00BE6187"/>
    <w:rsid w:val="00C02F74"/>
    <w:rsid w:val="00C801C9"/>
    <w:rsid w:val="00C8400D"/>
    <w:rsid w:val="00CE414D"/>
    <w:rsid w:val="00CF7E20"/>
    <w:rsid w:val="00D35499"/>
    <w:rsid w:val="00D47C10"/>
    <w:rsid w:val="00D61BAB"/>
    <w:rsid w:val="00E540E3"/>
    <w:rsid w:val="00E761A3"/>
    <w:rsid w:val="00E8600C"/>
    <w:rsid w:val="00EF2976"/>
    <w:rsid w:val="00F33784"/>
    <w:rsid w:val="00F36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A7F660-8577-4573-ADC8-5A2C782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45B"/>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14D"/>
    <w:pPr>
      <w:tabs>
        <w:tab w:val="center" w:pos="4252"/>
        <w:tab w:val="right" w:pos="8504"/>
      </w:tabs>
    </w:pPr>
  </w:style>
  <w:style w:type="character" w:customStyle="1" w:styleId="HeaderChar">
    <w:name w:val="Header Char"/>
    <w:basedOn w:val="DefaultParagraphFont"/>
    <w:link w:val="Header"/>
    <w:uiPriority w:val="99"/>
    <w:rsid w:val="00CE414D"/>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CE414D"/>
    <w:pPr>
      <w:tabs>
        <w:tab w:val="center" w:pos="4252"/>
        <w:tab w:val="right" w:pos="8504"/>
      </w:tabs>
    </w:pPr>
  </w:style>
  <w:style w:type="character" w:customStyle="1" w:styleId="FooterChar">
    <w:name w:val="Footer Char"/>
    <w:basedOn w:val="DefaultParagraphFont"/>
    <w:link w:val="Footer"/>
    <w:uiPriority w:val="99"/>
    <w:rsid w:val="00CE414D"/>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CE414D"/>
    <w:rPr>
      <w:rFonts w:ascii="Tahoma" w:hAnsi="Tahoma" w:cs="Tahoma"/>
      <w:sz w:val="16"/>
      <w:szCs w:val="16"/>
    </w:rPr>
  </w:style>
  <w:style w:type="character" w:customStyle="1" w:styleId="BalloonTextChar">
    <w:name w:val="Balloon Text Char"/>
    <w:basedOn w:val="DefaultParagraphFont"/>
    <w:link w:val="BalloonText"/>
    <w:uiPriority w:val="99"/>
    <w:semiHidden/>
    <w:rsid w:val="00CE414D"/>
    <w:rPr>
      <w:rFonts w:ascii="Tahoma" w:eastAsia="Times New Roman" w:hAnsi="Tahoma" w:cs="Tahoma"/>
      <w:sz w:val="16"/>
      <w:szCs w:val="16"/>
      <w:lang w:eastAsia="es-ES"/>
    </w:rPr>
  </w:style>
  <w:style w:type="paragraph" w:styleId="ListParagraph">
    <w:name w:val="List Paragraph"/>
    <w:basedOn w:val="Normal"/>
    <w:qFormat/>
    <w:rsid w:val="00BB7477"/>
    <w:pPr>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EF2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73416">
      <w:bodyDiv w:val="1"/>
      <w:marLeft w:val="0"/>
      <w:marRight w:val="0"/>
      <w:marTop w:val="0"/>
      <w:marBottom w:val="0"/>
      <w:divBdr>
        <w:top w:val="none" w:sz="0" w:space="0" w:color="auto"/>
        <w:left w:val="none" w:sz="0" w:space="0" w:color="auto"/>
        <w:bottom w:val="none" w:sz="0" w:space="0" w:color="auto"/>
        <w:right w:val="none" w:sz="0" w:space="0" w:color="auto"/>
      </w:divBdr>
    </w:div>
    <w:div w:id="1526947527">
      <w:bodyDiv w:val="1"/>
      <w:marLeft w:val="0"/>
      <w:marRight w:val="0"/>
      <w:marTop w:val="0"/>
      <w:marBottom w:val="0"/>
      <w:divBdr>
        <w:top w:val="none" w:sz="0" w:space="0" w:color="auto"/>
        <w:left w:val="none" w:sz="0" w:space="0" w:color="auto"/>
        <w:bottom w:val="none" w:sz="0" w:space="0" w:color="auto"/>
        <w:right w:val="none" w:sz="0" w:space="0" w:color="auto"/>
      </w:divBdr>
    </w:div>
    <w:div w:id="16543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511</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Burgos Barrantes Benito</dc:creator>
  <cp:lastModifiedBy>Carlos Roberto Rosado Romero</cp:lastModifiedBy>
  <cp:revision>4</cp:revision>
  <dcterms:created xsi:type="dcterms:W3CDTF">2018-07-30T15:05:00Z</dcterms:created>
  <dcterms:modified xsi:type="dcterms:W3CDTF">2018-07-30T15:44:00Z</dcterms:modified>
</cp:coreProperties>
</file>