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C9" w:rsidRPr="00F0601C" w:rsidRDefault="003B6F37" w:rsidP="003B6F37">
      <w:pPr>
        <w:ind w:left="-142" w:right="119"/>
        <w:jc w:val="center"/>
        <w:rPr>
          <w:rFonts w:ascii="Arial" w:hAnsi="Arial" w:cs="Arial"/>
          <w:b/>
        </w:rPr>
      </w:pPr>
      <w:r w:rsidRPr="00F0601C">
        <w:rPr>
          <w:rFonts w:ascii="Arial" w:hAnsi="Arial" w:cs="Arial"/>
          <w:b/>
        </w:rPr>
        <w:t xml:space="preserve">PROGRAMA DE </w:t>
      </w:r>
      <w:r w:rsidR="009D7DC2">
        <w:rPr>
          <w:rFonts w:ascii="Arial" w:hAnsi="Arial" w:cs="Arial"/>
          <w:b/>
        </w:rPr>
        <w:t xml:space="preserve">SERVICIOS SOCIALES ESTUDIANTILES </w:t>
      </w:r>
      <w:r w:rsidRPr="00F0601C">
        <w:rPr>
          <w:rFonts w:ascii="Arial" w:hAnsi="Arial" w:cs="Arial"/>
          <w:b/>
        </w:rPr>
        <w:t xml:space="preserve"> </w:t>
      </w:r>
      <w:r w:rsidR="0050445B" w:rsidRPr="00F0601C">
        <w:rPr>
          <w:rFonts w:ascii="Arial" w:hAnsi="Arial" w:cs="Arial"/>
          <w:b/>
        </w:rPr>
        <w:t xml:space="preserve"> </w:t>
      </w:r>
    </w:p>
    <w:p w:rsidR="00751CCC" w:rsidRPr="002F5D10" w:rsidRDefault="00751CCC" w:rsidP="003B6F37">
      <w:pPr>
        <w:ind w:left="-142" w:right="119"/>
        <w:jc w:val="center"/>
        <w:rPr>
          <w:rFonts w:asciiTheme="minorHAnsi" w:hAnsiTheme="minorHAnsi"/>
        </w:rPr>
      </w:pPr>
    </w:p>
    <w:tbl>
      <w:tblPr>
        <w:tblStyle w:val="TableGrid"/>
        <w:tblW w:w="0" w:type="auto"/>
        <w:tblInd w:w="-142" w:type="dxa"/>
        <w:tblLook w:val="04A0" w:firstRow="1" w:lastRow="0" w:firstColumn="1" w:lastColumn="0" w:noHBand="0" w:noVBand="1"/>
      </w:tblPr>
      <w:tblGrid>
        <w:gridCol w:w="3114"/>
        <w:gridCol w:w="6505"/>
      </w:tblGrid>
      <w:tr w:rsidR="00751CCC" w:rsidRPr="002F5D10" w:rsidTr="009D7DC2">
        <w:trPr>
          <w:trHeight w:val="170"/>
        </w:trPr>
        <w:tc>
          <w:tcPr>
            <w:tcW w:w="3114" w:type="dxa"/>
            <w:shd w:val="clear" w:color="auto" w:fill="DBE5F1" w:themeFill="accent1" w:themeFillTint="33"/>
          </w:tcPr>
          <w:p w:rsidR="00751CCC" w:rsidRPr="002F5D10" w:rsidRDefault="00751CCC" w:rsidP="00751CCC">
            <w:pPr>
              <w:ind w:right="119"/>
              <w:rPr>
                <w:rFonts w:asciiTheme="minorHAnsi" w:hAnsiTheme="minorHAnsi"/>
                <w:b/>
              </w:rPr>
            </w:pPr>
          </w:p>
          <w:p w:rsidR="00751CCC" w:rsidRPr="002F5D10" w:rsidRDefault="00751CCC" w:rsidP="00751CCC">
            <w:pPr>
              <w:ind w:right="119"/>
              <w:rPr>
                <w:rFonts w:asciiTheme="minorHAnsi" w:hAnsiTheme="minorHAnsi"/>
                <w:b/>
              </w:rPr>
            </w:pPr>
            <w:r w:rsidRPr="002F5D10">
              <w:rPr>
                <w:rFonts w:asciiTheme="minorHAnsi" w:hAnsiTheme="minorHAnsi"/>
                <w:b/>
              </w:rPr>
              <w:t>Nombre del programa:</w:t>
            </w:r>
          </w:p>
        </w:tc>
        <w:tc>
          <w:tcPr>
            <w:tcW w:w="6505" w:type="dxa"/>
          </w:tcPr>
          <w:p w:rsidR="00751CCC" w:rsidRPr="002F5D10" w:rsidRDefault="001D0EB6" w:rsidP="00D740EF">
            <w:pPr>
              <w:ind w:right="119"/>
              <w:rPr>
                <w:rFonts w:asciiTheme="minorHAnsi" w:hAnsiTheme="minorHAnsi"/>
              </w:rPr>
            </w:pPr>
            <w:r w:rsidRPr="002F5D10">
              <w:rPr>
                <w:rFonts w:asciiTheme="minorHAnsi" w:hAnsiTheme="minorHAnsi"/>
              </w:rPr>
              <w:t xml:space="preserve">Programa de </w:t>
            </w:r>
            <w:r w:rsidR="00D740EF" w:rsidRPr="002F5D10">
              <w:rPr>
                <w:rFonts w:asciiTheme="minorHAnsi" w:hAnsiTheme="minorHAnsi"/>
              </w:rPr>
              <w:t xml:space="preserve">Servicios Estudiantiles </w:t>
            </w:r>
            <w:r w:rsidRPr="002F5D10">
              <w:rPr>
                <w:rFonts w:asciiTheme="minorHAnsi" w:hAnsiTheme="minorHAnsi"/>
              </w:rPr>
              <w:t xml:space="preserve"> </w:t>
            </w:r>
          </w:p>
        </w:tc>
      </w:tr>
      <w:tr w:rsidR="00751CCC" w:rsidRPr="002F5D10" w:rsidTr="009D7DC2">
        <w:trPr>
          <w:trHeight w:val="260"/>
        </w:trPr>
        <w:tc>
          <w:tcPr>
            <w:tcW w:w="3114" w:type="dxa"/>
            <w:shd w:val="clear" w:color="auto" w:fill="DBE5F1" w:themeFill="accent1" w:themeFillTint="33"/>
          </w:tcPr>
          <w:p w:rsidR="00751CCC" w:rsidRPr="002F5D10" w:rsidRDefault="00751CCC" w:rsidP="00751CCC">
            <w:pPr>
              <w:ind w:right="119"/>
              <w:rPr>
                <w:rFonts w:asciiTheme="minorHAnsi" w:hAnsiTheme="minorHAnsi"/>
                <w:b/>
              </w:rPr>
            </w:pPr>
          </w:p>
          <w:p w:rsidR="00751CCC" w:rsidRPr="002F5D10" w:rsidRDefault="00751CCC" w:rsidP="00751CCC">
            <w:pPr>
              <w:ind w:right="119"/>
              <w:rPr>
                <w:rFonts w:asciiTheme="minorHAnsi" w:hAnsiTheme="minorHAnsi"/>
                <w:b/>
              </w:rPr>
            </w:pPr>
            <w:r w:rsidRPr="002F5D10">
              <w:rPr>
                <w:rFonts w:asciiTheme="minorHAnsi" w:hAnsiTheme="minorHAnsi"/>
                <w:b/>
              </w:rPr>
              <w:t>Unidad Ejecutora:</w:t>
            </w:r>
            <w:r w:rsidR="002F5D10" w:rsidRPr="002F5D10">
              <w:rPr>
                <w:rFonts w:asciiTheme="minorHAnsi" w:hAnsiTheme="minorHAnsi"/>
                <w:b/>
              </w:rPr>
              <w:t>+</w:t>
            </w:r>
          </w:p>
        </w:tc>
        <w:tc>
          <w:tcPr>
            <w:tcW w:w="6505" w:type="dxa"/>
          </w:tcPr>
          <w:p w:rsidR="00F3314F" w:rsidRPr="002F5D10" w:rsidRDefault="00F3314F" w:rsidP="00751CCC">
            <w:pPr>
              <w:ind w:right="119"/>
              <w:rPr>
                <w:rFonts w:asciiTheme="minorHAnsi" w:hAnsiTheme="minorHAnsi"/>
              </w:rPr>
            </w:pPr>
          </w:p>
          <w:p w:rsidR="00751CCC" w:rsidRPr="002F5D10" w:rsidRDefault="00D740EF" w:rsidP="001D0EB6">
            <w:pPr>
              <w:ind w:right="119"/>
              <w:rPr>
                <w:rFonts w:asciiTheme="minorHAnsi" w:hAnsiTheme="minorHAnsi"/>
              </w:rPr>
            </w:pPr>
            <w:r w:rsidRPr="002F5D10">
              <w:rPr>
                <w:rFonts w:asciiTheme="minorHAnsi" w:hAnsiTheme="minorHAnsi"/>
              </w:rPr>
              <w:t>Dirección de Salud y Servicios Sociales</w:t>
            </w:r>
            <w:r w:rsidR="001D0EB6" w:rsidRPr="002F5D10">
              <w:rPr>
                <w:rFonts w:asciiTheme="minorHAnsi" w:hAnsiTheme="minorHAnsi"/>
              </w:rPr>
              <w:t xml:space="preserve"> </w:t>
            </w:r>
          </w:p>
        </w:tc>
      </w:tr>
      <w:tr w:rsidR="00751CCC" w:rsidRPr="002F5D10" w:rsidTr="009D7DC2">
        <w:trPr>
          <w:trHeight w:val="175"/>
        </w:trPr>
        <w:tc>
          <w:tcPr>
            <w:tcW w:w="3114" w:type="dxa"/>
            <w:shd w:val="clear" w:color="auto" w:fill="DBE5F1" w:themeFill="accent1" w:themeFillTint="33"/>
          </w:tcPr>
          <w:p w:rsidR="00751CCC" w:rsidRPr="002F5D10" w:rsidRDefault="00751CCC" w:rsidP="00751CCC">
            <w:pPr>
              <w:ind w:right="119"/>
              <w:rPr>
                <w:rFonts w:asciiTheme="minorHAnsi" w:hAnsiTheme="minorHAnsi"/>
                <w:b/>
              </w:rPr>
            </w:pPr>
            <w:r w:rsidRPr="002F5D10">
              <w:rPr>
                <w:rFonts w:asciiTheme="minorHAnsi" w:hAnsiTheme="minorHAnsi"/>
                <w:b/>
              </w:rPr>
              <w:t xml:space="preserve">Alcance (Nacional, focalizado)               </w:t>
            </w:r>
          </w:p>
        </w:tc>
        <w:tc>
          <w:tcPr>
            <w:tcW w:w="6505" w:type="dxa"/>
          </w:tcPr>
          <w:p w:rsidR="00F3314F" w:rsidRPr="002F5D10" w:rsidRDefault="00F3314F" w:rsidP="00C23EA0">
            <w:pPr>
              <w:ind w:right="119"/>
              <w:rPr>
                <w:rFonts w:asciiTheme="minorHAnsi" w:hAnsiTheme="minorHAnsi"/>
              </w:rPr>
            </w:pPr>
          </w:p>
          <w:p w:rsidR="00751CCC" w:rsidRPr="002F5D10" w:rsidRDefault="00C23EA0" w:rsidP="00C23EA0">
            <w:pPr>
              <w:ind w:right="119"/>
              <w:rPr>
                <w:rFonts w:asciiTheme="minorHAnsi" w:hAnsiTheme="minorHAnsi"/>
              </w:rPr>
            </w:pPr>
            <w:r w:rsidRPr="002F5D10">
              <w:rPr>
                <w:rFonts w:asciiTheme="minorHAnsi" w:hAnsiTheme="minorHAnsi"/>
              </w:rPr>
              <w:t>Nacional</w:t>
            </w:r>
          </w:p>
        </w:tc>
      </w:tr>
      <w:tr w:rsidR="00751CCC" w:rsidRPr="002F5D10" w:rsidTr="009D7DC2">
        <w:trPr>
          <w:trHeight w:val="170"/>
        </w:trPr>
        <w:tc>
          <w:tcPr>
            <w:tcW w:w="3114" w:type="dxa"/>
            <w:shd w:val="clear" w:color="auto" w:fill="DBE5F1" w:themeFill="accent1" w:themeFillTint="33"/>
          </w:tcPr>
          <w:p w:rsidR="00751CCC" w:rsidRPr="002F5D10" w:rsidRDefault="00751CCC" w:rsidP="00751CCC">
            <w:pPr>
              <w:ind w:right="119"/>
              <w:rPr>
                <w:rFonts w:asciiTheme="minorHAnsi" w:hAnsiTheme="minorHAnsi"/>
                <w:b/>
              </w:rPr>
            </w:pPr>
            <w:r w:rsidRPr="002F5D10">
              <w:rPr>
                <w:rFonts w:asciiTheme="minorHAnsi" w:hAnsiTheme="minorHAnsi"/>
                <w:b/>
              </w:rPr>
              <w:t xml:space="preserve">Población Beneficiaria:  </w:t>
            </w:r>
          </w:p>
        </w:tc>
        <w:tc>
          <w:tcPr>
            <w:tcW w:w="6505" w:type="dxa"/>
          </w:tcPr>
          <w:p w:rsidR="00751CCC" w:rsidRPr="002F5D10" w:rsidRDefault="009D7DC2" w:rsidP="00D740EF">
            <w:pPr>
              <w:ind w:right="119"/>
              <w:rPr>
                <w:rFonts w:asciiTheme="minorHAnsi" w:hAnsiTheme="minorHAnsi"/>
              </w:rPr>
            </w:pPr>
            <w:r w:rsidRPr="002F5D10">
              <w:rPr>
                <w:rFonts w:asciiTheme="minorHAnsi" w:hAnsiTheme="minorHAnsi"/>
              </w:rPr>
              <w:t xml:space="preserve">750,000 estudiantes </w:t>
            </w:r>
          </w:p>
        </w:tc>
      </w:tr>
    </w:tbl>
    <w:p w:rsidR="00751CCC" w:rsidRPr="002F5D10" w:rsidRDefault="00751CCC" w:rsidP="00751CCC">
      <w:pPr>
        <w:ind w:left="-142" w:right="119"/>
        <w:rPr>
          <w:rFonts w:asciiTheme="minorHAnsi" w:hAnsiTheme="minorHAnsi"/>
        </w:rPr>
      </w:pPr>
    </w:p>
    <w:p w:rsidR="00751CCC" w:rsidRPr="00F0601C" w:rsidRDefault="00751CCC" w:rsidP="00751CCC">
      <w:pPr>
        <w:ind w:left="-142" w:right="119"/>
        <w:rPr>
          <w:rFonts w:ascii="Arial" w:hAnsi="Arial" w:cs="Arial"/>
          <w:b/>
        </w:rPr>
      </w:pPr>
    </w:p>
    <w:tbl>
      <w:tblPr>
        <w:tblStyle w:val="TableGrid"/>
        <w:tblW w:w="0" w:type="auto"/>
        <w:tblInd w:w="-142" w:type="dxa"/>
        <w:tblLook w:val="04A0" w:firstRow="1" w:lastRow="0" w:firstColumn="1" w:lastColumn="0" w:noHBand="0" w:noVBand="1"/>
      </w:tblPr>
      <w:tblGrid>
        <w:gridCol w:w="2972"/>
        <w:gridCol w:w="6804"/>
      </w:tblGrid>
      <w:tr w:rsidR="00751CCC" w:rsidRPr="00F0601C" w:rsidTr="009D7DC2">
        <w:trPr>
          <w:trHeight w:val="640"/>
        </w:trPr>
        <w:tc>
          <w:tcPr>
            <w:tcW w:w="2972" w:type="dxa"/>
            <w:shd w:val="clear" w:color="auto" w:fill="DBE5F1" w:themeFill="accent1" w:themeFillTint="33"/>
          </w:tcPr>
          <w:p w:rsidR="00751CCC" w:rsidRPr="009D7DC2" w:rsidRDefault="00751CCC" w:rsidP="00751CCC">
            <w:pPr>
              <w:ind w:right="119"/>
              <w:rPr>
                <w:rFonts w:asciiTheme="minorHAnsi" w:hAnsiTheme="minorHAnsi"/>
              </w:rPr>
            </w:pPr>
            <w:r w:rsidRPr="009D7DC2">
              <w:rPr>
                <w:rFonts w:asciiTheme="minorHAnsi" w:hAnsiTheme="minorHAnsi"/>
              </w:rPr>
              <w:t xml:space="preserve">Descripción del Programa </w:t>
            </w:r>
          </w:p>
        </w:tc>
        <w:tc>
          <w:tcPr>
            <w:tcW w:w="6804" w:type="dxa"/>
          </w:tcPr>
          <w:p w:rsidR="009D7DC2" w:rsidRDefault="009D7DC2" w:rsidP="009D7DC2">
            <w:pPr>
              <w:pStyle w:val="NoSpacing"/>
              <w:jc w:val="both"/>
              <w:rPr>
                <w:rFonts w:asciiTheme="minorHAnsi" w:eastAsia="Times New Roman" w:hAnsiTheme="minorHAnsi"/>
                <w:sz w:val="24"/>
                <w:szCs w:val="24"/>
                <w:lang w:val="es-ES" w:eastAsia="es-ES"/>
              </w:rPr>
            </w:pPr>
            <w:r w:rsidRPr="009D7DC2">
              <w:rPr>
                <w:rFonts w:asciiTheme="minorHAnsi" w:eastAsia="Times New Roman" w:hAnsiTheme="minorHAnsi"/>
                <w:sz w:val="24"/>
                <w:szCs w:val="24"/>
                <w:lang w:val="es-ES" w:eastAsia="es-ES"/>
              </w:rPr>
              <w:t>A través de este programa se coordina, ejecuta y evalúan los programas, proyectos y servicios que respondan a mejorar las condiciones socio-educativas que demandan los niños/as y adolescentes del sistema educativo público nacional.   A través de estos programas se entrega a los estudiantes en condiciones de vulnerabilidad  utilería escolar, uniformes, subsidios educativos (becas) y formación para el desarrollo de liderazgo y ampliación  de las condiciones materiales para garantizar el a</w:t>
            </w:r>
            <w:r>
              <w:rPr>
                <w:rFonts w:asciiTheme="minorHAnsi" w:eastAsia="Times New Roman" w:hAnsiTheme="minorHAnsi"/>
                <w:sz w:val="24"/>
                <w:szCs w:val="24"/>
                <w:lang w:val="es-ES" w:eastAsia="es-ES"/>
              </w:rPr>
              <w:t xml:space="preserve">prendizaje de los estudiantes. </w:t>
            </w:r>
          </w:p>
          <w:p w:rsidR="00751CCC" w:rsidRPr="009D7DC2" w:rsidRDefault="00751CCC" w:rsidP="009D7DC2">
            <w:pPr>
              <w:pStyle w:val="NoSpacing"/>
              <w:jc w:val="both"/>
              <w:rPr>
                <w:rFonts w:asciiTheme="minorHAnsi" w:eastAsia="Times New Roman" w:hAnsiTheme="minorHAnsi"/>
                <w:sz w:val="24"/>
                <w:szCs w:val="24"/>
                <w:lang w:val="es-ES" w:eastAsia="es-ES"/>
              </w:rPr>
            </w:pPr>
          </w:p>
        </w:tc>
      </w:tr>
      <w:tr w:rsidR="00751CCC" w:rsidRPr="00F0601C" w:rsidTr="009D7DC2">
        <w:tc>
          <w:tcPr>
            <w:tcW w:w="2972" w:type="dxa"/>
            <w:shd w:val="clear" w:color="auto" w:fill="DBE5F1" w:themeFill="accent1" w:themeFillTint="33"/>
          </w:tcPr>
          <w:p w:rsidR="00751CCC" w:rsidRPr="009D7DC2" w:rsidRDefault="00751CCC" w:rsidP="00751CCC">
            <w:pPr>
              <w:ind w:right="119"/>
              <w:rPr>
                <w:rFonts w:asciiTheme="minorHAnsi" w:hAnsiTheme="minorHAnsi"/>
              </w:rPr>
            </w:pPr>
          </w:p>
          <w:p w:rsidR="00751CCC" w:rsidRPr="009D7DC2" w:rsidRDefault="00751CCC" w:rsidP="00751CCC">
            <w:pPr>
              <w:ind w:right="119"/>
              <w:rPr>
                <w:rFonts w:asciiTheme="minorHAnsi" w:hAnsiTheme="minorHAnsi"/>
              </w:rPr>
            </w:pPr>
            <w:r w:rsidRPr="009D7DC2">
              <w:rPr>
                <w:rFonts w:asciiTheme="minorHAnsi" w:hAnsiTheme="minorHAnsi"/>
              </w:rPr>
              <w:t xml:space="preserve">Objetivo General </w:t>
            </w:r>
          </w:p>
        </w:tc>
        <w:tc>
          <w:tcPr>
            <w:tcW w:w="6804" w:type="dxa"/>
          </w:tcPr>
          <w:p w:rsidR="00751CCC" w:rsidRPr="009D7DC2" w:rsidRDefault="00D56647" w:rsidP="00A37AE2">
            <w:pPr>
              <w:ind w:right="119"/>
              <w:jc w:val="both"/>
              <w:rPr>
                <w:rFonts w:asciiTheme="minorHAnsi" w:hAnsiTheme="minorHAnsi"/>
              </w:rPr>
            </w:pPr>
            <w:r w:rsidRPr="009D7DC2">
              <w:rPr>
                <w:rFonts w:asciiTheme="minorHAnsi" w:hAnsiTheme="minorHAnsi"/>
              </w:rPr>
              <w:t>Contribuir al fortalecimiento de los espacios de participación estudiantil, propiciando su acceso a servicios de apoyo que impulsen mejoras en las condiciones socio-educativas de los niños y adolescentes, para su permanencia en el sistema educativo.</w:t>
            </w:r>
          </w:p>
        </w:tc>
      </w:tr>
      <w:tr w:rsidR="00751CCC" w:rsidRPr="00F0601C" w:rsidTr="009D7DC2">
        <w:tc>
          <w:tcPr>
            <w:tcW w:w="2972" w:type="dxa"/>
            <w:shd w:val="clear" w:color="auto" w:fill="DBE5F1" w:themeFill="accent1" w:themeFillTint="33"/>
          </w:tcPr>
          <w:p w:rsidR="00751CCC" w:rsidRPr="009D7DC2" w:rsidRDefault="00751CCC" w:rsidP="00751CCC">
            <w:pPr>
              <w:ind w:right="119"/>
              <w:rPr>
                <w:rFonts w:asciiTheme="minorHAnsi" w:hAnsiTheme="minorHAnsi"/>
              </w:rPr>
            </w:pPr>
          </w:p>
          <w:p w:rsidR="00751CCC" w:rsidRPr="009D7DC2" w:rsidRDefault="00751CCC" w:rsidP="00751CCC">
            <w:pPr>
              <w:ind w:right="119"/>
              <w:rPr>
                <w:rFonts w:asciiTheme="minorHAnsi" w:hAnsiTheme="minorHAnsi"/>
              </w:rPr>
            </w:pPr>
            <w:r w:rsidRPr="009D7DC2">
              <w:rPr>
                <w:rFonts w:asciiTheme="minorHAnsi" w:hAnsiTheme="minorHAnsi"/>
              </w:rPr>
              <w:t xml:space="preserve">Objetivos Específicos </w:t>
            </w:r>
          </w:p>
        </w:tc>
        <w:tc>
          <w:tcPr>
            <w:tcW w:w="6804" w:type="dxa"/>
          </w:tcPr>
          <w:p w:rsidR="00A37AE2" w:rsidRPr="009D7DC2" w:rsidRDefault="00E64212" w:rsidP="00E64212">
            <w:pPr>
              <w:pStyle w:val="ListParagraph"/>
              <w:numPr>
                <w:ilvl w:val="0"/>
                <w:numId w:val="15"/>
              </w:numPr>
              <w:ind w:right="119"/>
              <w:jc w:val="both"/>
              <w:rPr>
                <w:rFonts w:eastAsia="Times New Roman" w:cs="Times New Roman"/>
                <w:sz w:val="24"/>
                <w:szCs w:val="24"/>
                <w:lang w:eastAsia="es-ES"/>
              </w:rPr>
            </w:pPr>
            <w:r w:rsidRPr="009D7DC2">
              <w:rPr>
                <w:rFonts w:eastAsia="Times New Roman" w:cs="Times New Roman"/>
                <w:sz w:val="24"/>
                <w:szCs w:val="24"/>
                <w:lang w:eastAsia="es-ES"/>
              </w:rPr>
              <w:t>Lograr que los estudiantes valoren las principales manifestaciones culturales del pueblo dominicano y fortalezcan su identidad</w:t>
            </w:r>
          </w:p>
          <w:p w:rsidR="00E64212" w:rsidRPr="009D7DC2" w:rsidRDefault="00E64212" w:rsidP="00E64212">
            <w:pPr>
              <w:pStyle w:val="ListParagraph"/>
              <w:numPr>
                <w:ilvl w:val="0"/>
                <w:numId w:val="15"/>
              </w:numPr>
              <w:ind w:right="119"/>
              <w:jc w:val="both"/>
              <w:rPr>
                <w:rFonts w:eastAsia="Times New Roman" w:cs="Times New Roman"/>
                <w:sz w:val="24"/>
                <w:szCs w:val="24"/>
                <w:lang w:eastAsia="es-ES"/>
              </w:rPr>
            </w:pPr>
            <w:r w:rsidRPr="009D7DC2">
              <w:rPr>
                <w:rFonts w:eastAsia="Times New Roman" w:cs="Times New Roman"/>
                <w:sz w:val="24"/>
                <w:szCs w:val="24"/>
                <w:lang w:eastAsia="es-ES"/>
              </w:rPr>
              <w:t>Fomentar en los estudiantes valores, liderazgo, convivencia sana y participación social responsable</w:t>
            </w:r>
          </w:p>
          <w:p w:rsidR="00E64212" w:rsidRPr="009D7DC2" w:rsidRDefault="00E64212" w:rsidP="00E64212">
            <w:pPr>
              <w:numPr>
                <w:ilvl w:val="0"/>
                <w:numId w:val="15"/>
              </w:numPr>
              <w:shd w:val="clear" w:color="auto" w:fill="FFFFFF"/>
              <w:spacing w:before="100" w:beforeAutospacing="1" w:after="100" w:afterAutospacing="1"/>
              <w:rPr>
                <w:rFonts w:asciiTheme="minorHAnsi" w:hAnsiTheme="minorHAnsi"/>
              </w:rPr>
            </w:pPr>
            <w:r w:rsidRPr="009D7DC2">
              <w:rPr>
                <w:rFonts w:asciiTheme="minorHAnsi" w:hAnsiTheme="minorHAnsi"/>
              </w:rPr>
              <w:t>Sentar las bases para formar líderes cooperativistas, que contribuyan al desarrollo de actitudes, valores (morales, éticos, patrióticos) y prácticas democráticas para el bienestar común.</w:t>
            </w:r>
          </w:p>
          <w:p w:rsidR="00E64212" w:rsidRPr="009D7DC2" w:rsidRDefault="00E64212" w:rsidP="00E64212">
            <w:pPr>
              <w:pStyle w:val="ListParagraph"/>
              <w:numPr>
                <w:ilvl w:val="0"/>
                <w:numId w:val="15"/>
              </w:numPr>
              <w:ind w:right="119"/>
              <w:jc w:val="both"/>
              <w:rPr>
                <w:rFonts w:eastAsia="Times New Roman" w:cs="Times New Roman"/>
                <w:sz w:val="24"/>
                <w:szCs w:val="24"/>
                <w:lang w:eastAsia="es-ES"/>
              </w:rPr>
            </w:pPr>
            <w:r w:rsidRPr="009D7DC2">
              <w:rPr>
                <w:rFonts w:eastAsia="Times New Roman" w:cs="Times New Roman"/>
                <w:sz w:val="24"/>
                <w:szCs w:val="24"/>
                <w:lang w:eastAsia="es-ES"/>
              </w:rPr>
              <w:t>incentivar el hábito del ahorro y el uso racional de los recursos desde temprana edad.</w:t>
            </w:r>
          </w:p>
        </w:tc>
      </w:tr>
      <w:tr w:rsidR="00751CCC" w:rsidRPr="009D7DC2" w:rsidTr="009D7DC2">
        <w:tc>
          <w:tcPr>
            <w:tcW w:w="2972" w:type="dxa"/>
            <w:shd w:val="clear" w:color="auto" w:fill="DBE5F1" w:themeFill="accent1" w:themeFillTint="33"/>
          </w:tcPr>
          <w:p w:rsidR="00751CCC" w:rsidRPr="009D7DC2" w:rsidRDefault="00751CCC" w:rsidP="00751CCC">
            <w:pPr>
              <w:ind w:right="119"/>
              <w:rPr>
                <w:rFonts w:asciiTheme="minorHAnsi" w:hAnsiTheme="minorHAnsi"/>
              </w:rPr>
            </w:pPr>
          </w:p>
          <w:p w:rsidR="00751CCC" w:rsidRPr="009D7DC2" w:rsidRDefault="00751CCC" w:rsidP="00751CCC">
            <w:pPr>
              <w:ind w:right="119"/>
              <w:rPr>
                <w:rFonts w:asciiTheme="minorHAnsi" w:hAnsiTheme="minorHAnsi"/>
              </w:rPr>
            </w:pPr>
            <w:r w:rsidRPr="009D7DC2">
              <w:rPr>
                <w:rFonts w:asciiTheme="minorHAnsi" w:hAnsiTheme="minorHAnsi"/>
              </w:rPr>
              <w:t xml:space="preserve">Componentes </w:t>
            </w:r>
          </w:p>
        </w:tc>
        <w:tc>
          <w:tcPr>
            <w:tcW w:w="6804" w:type="dxa"/>
          </w:tcPr>
          <w:p w:rsidR="00751CCC" w:rsidRPr="009D7DC2" w:rsidRDefault="00E64212" w:rsidP="00E64212">
            <w:pPr>
              <w:pStyle w:val="ListParagraph"/>
              <w:numPr>
                <w:ilvl w:val="0"/>
                <w:numId w:val="18"/>
              </w:numPr>
              <w:shd w:val="clear" w:color="auto" w:fill="FFFFFF"/>
              <w:jc w:val="both"/>
              <w:rPr>
                <w:rFonts w:eastAsia="Times New Roman" w:cs="Times New Roman"/>
                <w:sz w:val="24"/>
                <w:szCs w:val="24"/>
                <w:lang w:eastAsia="es-ES"/>
              </w:rPr>
            </w:pPr>
            <w:r w:rsidRPr="009D7DC2">
              <w:rPr>
                <w:rFonts w:eastAsia="Times New Roman" w:cs="Times New Roman"/>
                <w:b/>
                <w:sz w:val="24"/>
                <w:szCs w:val="24"/>
                <w:lang w:eastAsia="es-ES"/>
              </w:rPr>
              <w:t>Becas Escolares</w:t>
            </w:r>
            <w:r w:rsidR="009D7DC2">
              <w:rPr>
                <w:rFonts w:eastAsia="Times New Roman" w:cs="Times New Roman"/>
                <w:b/>
                <w:sz w:val="24"/>
                <w:szCs w:val="24"/>
                <w:lang w:eastAsia="es-ES"/>
              </w:rPr>
              <w:t>.</w:t>
            </w:r>
            <w:r w:rsidR="009D7DC2" w:rsidRPr="009D7DC2">
              <w:rPr>
                <w:rFonts w:eastAsia="Times New Roman" w:cs="Times New Roman"/>
                <w:sz w:val="24"/>
                <w:szCs w:val="24"/>
                <w:lang w:eastAsia="es-ES"/>
              </w:rPr>
              <w:t xml:space="preserve"> P</w:t>
            </w:r>
            <w:r w:rsidRPr="009D7DC2">
              <w:rPr>
                <w:rFonts w:eastAsia="Times New Roman" w:cs="Times New Roman"/>
                <w:sz w:val="24"/>
                <w:szCs w:val="24"/>
                <w:lang w:eastAsia="es-ES"/>
              </w:rPr>
              <w:t>romueve el desarrollo del talento y la creatividad para compensar diferencias sociales, estimulando el desarrollo de competencias, destrezas, habilidades y técnicas en los estudiantes beneficiarios, focalizado hacia los propósitos del currículo en el grado, nivel, área o modalidad de que se trate. (Art. 2 de la Orden Departamental 6-2005, que regula el funcionamiento del programa).</w:t>
            </w:r>
          </w:p>
          <w:p w:rsidR="009D7DC2" w:rsidRDefault="00E64212" w:rsidP="009D7DC2">
            <w:pPr>
              <w:pStyle w:val="ListParagraph"/>
              <w:numPr>
                <w:ilvl w:val="0"/>
                <w:numId w:val="18"/>
              </w:numPr>
              <w:shd w:val="clear" w:color="auto" w:fill="FFFFFF"/>
              <w:jc w:val="both"/>
              <w:rPr>
                <w:rFonts w:eastAsia="Times New Roman" w:cs="Times New Roman"/>
                <w:sz w:val="24"/>
                <w:szCs w:val="24"/>
                <w:lang w:eastAsia="es-ES"/>
              </w:rPr>
            </w:pPr>
            <w:r w:rsidRPr="009D7DC2">
              <w:rPr>
                <w:rFonts w:eastAsia="Times New Roman" w:cs="Times New Roman"/>
                <w:b/>
                <w:sz w:val="24"/>
                <w:szCs w:val="24"/>
                <w:lang w:eastAsia="es-ES"/>
              </w:rPr>
              <w:t>Uniformes y Útiles Escolares</w:t>
            </w:r>
            <w:r w:rsidR="009D7DC2">
              <w:rPr>
                <w:rFonts w:eastAsia="Times New Roman" w:cs="Times New Roman"/>
                <w:b/>
                <w:sz w:val="24"/>
                <w:szCs w:val="24"/>
                <w:lang w:eastAsia="es-ES"/>
              </w:rPr>
              <w:t xml:space="preserve">. </w:t>
            </w:r>
            <w:r w:rsidR="009D7DC2" w:rsidRPr="009D7DC2">
              <w:rPr>
                <w:rFonts w:eastAsia="Times New Roman" w:cs="Times New Roman"/>
                <w:sz w:val="24"/>
                <w:szCs w:val="24"/>
                <w:lang w:eastAsia="es-ES"/>
              </w:rPr>
              <w:t>A través de este programa se</w:t>
            </w:r>
            <w:r w:rsidRPr="009D7DC2">
              <w:rPr>
                <w:rFonts w:eastAsia="Times New Roman" w:cs="Times New Roman"/>
                <w:sz w:val="24"/>
                <w:szCs w:val="24"/>
                <w:lang w:eastAsia="es-ES"/>
              </w:rPr>
              <w:t xml:space="preserve"> planifica y coordina la entrega de un kit o equipamiento escolar básico, conteniendo los materiales y uniformes necesarios para cada uno de los estudiantes de los niveles educativos, en las escuelas públicas, creando así  las condiciones  para que los niños y </w:t>
            </w:r>
            <w:r w:rsidR="008A5FFF" w:rsidRPr="009D7DC2">
              <w:rPr>
                <w:rFonts w:eastAsia="Times New Roman" w:cs="Times New Roman"/>
                <w:sz w:val="24"/>
                <w:szCs w:val="24"/>
                <w:lang w:eastAsia="es-ES"/>
              </w:rPr>
              <w:t>adolescentes</w:t>
            </w:r>
            <w:r w:rsidRPr="009D7DC2">
              <w:rPr>
                <w:rFonts w:eastAsia="Times New Roman" w:cs="Times New Roman"/>
                <w:sz w:val="24"/>
                <w:szCs w:val="24"/>
                <w:lang w:eastAsia="es-ES"/>
              </w:rPr>
              <w:t xml:space="preserve"> puedan  asistir  a los centros educativos, con la dotación que les permita un adecuado aprovechamiento de su formación integral, contribuyendo de esta forma con el desarrollo de sus potencialidades.</w:t>
            </w:r>
          </w:p>
          <w:p w:rsidR="002F5D10" w:rsidRDefault="002F5D10" w:rsidP="002F5D10">
            <w:pPr>
              <w:pStyle w:val="ListParagraph"/>
              <w:shd w:val="clear" w:color="auto" w:fill="FFFFFF"/>
              <w:jc w:val="both"/>
              <w:rPr>
                <w:rFonts w:eastAsia="Times New Roman" w:cs="Times New Roman"/>
                <w:sz w:val="24"/>
                <w:szCs w:val="24"/>
                <w:lang w:eastAsia="es-ES"/>
              </w:rPr>
            </w:pPr>
          </w:p>
          <w:p w:rsidR="002F5D10" w:rsidRPr="009D7DC2" w:rsidRDefault="002F5D10" w:rsidP="002F5D10">
            <w:pPr>
              <w:pStyle w:val="ListParagraph"/>
              <w:shd w:val="clear" w:color="auto" w:fill="FFFFFF"/>
              <w:jc w:val="both"/>
              <w:rPr>
                <w:rFonts w:eastAsia="Times New Roman" w:cs="Times New Roman"/>
                <w:sz w:val="24"/>
                <w:szCs w:val="24"/>
                <w:lang w:eastAsia="es-ES"/>
              </w:rPr>
            </w:pPr>
            <w:r w:rsidRPr="002F5D10">
              <w:rPr>
                <w:rFonts w:eastAsia="Times New Roman" w:cs="Times New Roman"/>
                <w:sz w:val="24"/>
                <w:szCs w:val="24"/>
                <w:lang w:eastAsia="es-ES"/>
              </w:rPr>
              <w:t>El kit escolar lo componen un juego de uniformes, un par de zapatos, medias, mascotas rayadas, caja de lápices de colores, lápices de carbón, libros para colorear, cajas de masillas, mandil, sacapuntas, cajas de témperas, tijeras sin puntas, gomas de borrar, mochila, set geométrico y tabla periódica.</w:t>
            </w:r>
          </w:p>
          <w:p w:rsidR="009D7DC2" w:rsidRDefault="009D7DC2" w:rsidP="009D7DC2">
            <w:pPr>
              <w:pStyle w:val="ListParagraph"/>
              <w:numPr>
                <w:ilvl w:val="0"/>
                <w:numId w:val="18"/>
              </w:numPr>
              <w:shd w:val="clear" w:color="auto" w:fill="FFFFFF"/>
              <w:jc w:val="both"/>
              <w:rPr>
                <w:rFonts w:eastAsia="Times New Roman" w:cs="Times New Roman"/>
                <w:sz w:val="24"/>
                <w:szCs w:val="24"/>
                <w:lang w:eastAsia="es-ES"/>
              </w:rPr>
            </w:pPr>
            <w:r w:rsidRPr="009D7DC2">
              <w:rPr>
                <w:rFonts w:eastAsia="Times New Roman" w:cs="Times New Roman"/>
                <w:b/>
                <w:sz w:val="24"/>
                <w:szCs w:val="24"/>
                <w:lang w:eastAsia="es-ES"/>
              </w:rPr>
              <w:t xml:space="preserve">Extensión cultural </w:t>
            </w:r>
            <w:r w:rsidR="00E64212" w:rsidRPr="009D7DC2">
              <w:rPr>
                <w:rFonts w:eastAsia="Times New Roman" w:cs="Times New Roman"/>
                <w:b/>
                <w:sz w:val="24"/>
                <w:szCs w:val="24"/>
                <w:lang w:eastAsia="es-ES"/>
              </w:rPr>
              <w:t xml:space="preserve"> estudiantil</w:t>
            </w:r>
            <w:r>
              <w:rPr>
                <w:rFonts w:eastAsia="Times New Roman" w:cs="Times New Roman"/>
                <w:sz w:val="24"/>
                <w:szCs w:val="24"/>
                <w:lang w:eastAsia="es-ES"/>
              </w:rPr>
              <w:t xml:space="preserve">. </w:t>
            </w:r>
            <w:r w:rsidR="00E64212" w:rsidRPr="009D7DC2">
              <w:rPr>
                <w:rFonts w:eastAsia="Times New Roman" w:cs="Times New Roman"/>
                <w:sz w:val="24"/>
                <w:szCs w:val="24"/>
                <w:lang w:eastAsia="es-ES"/>
              </w:rPr>
              <w:t xml:space="preserve"> </w:t>
            </w:r>
            <w:r w:rsidR="002F5D10">
              <w:rPr>
                <w:rFonts w:eastAsia="Times New Roman" w:cs="Times New Roman"/>
                <w:sz w:val="24"/>
                <w:szCs w:val="24"/>
                <w:lang w:eastAsia="es-ES"/>
              </w:rPr>
              <w:t>El INABIE promueve el desarrollo de actividades de extensión cultural que incrementen las capacidades y el acervo cultural de los estudiantes más vulnerables.</w:t>
            </w:r>
          </w:p>
          <w:p w:rsidR="00E64212" w:rsidRPr="009D7DC2" w:rsidRDefault="009D7DC2" w:rsidP="009D7DC2">
            <w:pPr>
              <w:pStyle w:val="ListParagraph"/>
              <w:numPr>
                <w:ilvl w:val="0"/>
                <w:numId w:val="18"/>
              </w:numPr>
              <w:shd w:val="clear" w:color="auto" w:fill="FFFFFF"/>
              <w:jc w:val="both"/>
              <w:rPr>
                <w:rFonts w:eastAsia="Times New Roman" w:cs="Times New Roman"/>
                <w:sz w:val="24"/>
                <w:szCs w:val="24"/>
                <w:lang w:eastAsia="es-ES"/>
              </w:rPr>
            </w:pPr>
            <w:r w:rsidRPr="009D7DC2">
              <w:rPr>
                <w:rFonts w:eastAsia="Times New Roman" w:cs="Times New Roman"/>
                <w:b/>
                <w:sz w:val="24"/>
                <w:szCs w:val="24"/>
                <w:lang w:eastAsia="es-ES"/>
              </w:rPr>
              <w:t>C</w:t>
            </w:r>
            <w:r w:rsidR="00E64212" w:rsidRPr="009D7DC2">
              <w:rPr>
                <w:rFonts w:eastAsia="Times New Roman" w:cs="Times New Roman"/>
                <w:b/>
                <w:sz w:val="24"/>
                <w:szCs w:val="24"/>
                <w:lang w:eastAsia="es-ES"/>
              </w:rPr>
              <w:t>ooperativas escolares</w:t>
            </w:r>
            <w:r>
              <w:rPr>
                <w:rFonts w:eastAsia="Times New Roman" w:cs="Times New Roman"/>
                <w:b/>
                <w:sz w:val="24"/>
                <w:szCs w:val="24"/>
                <w:lang w:eastAsia="es-ES"/>
              </w:rPr>
              <w:t xml:space="preserve">, </w:t>
            </w:r>
            <w:r w:rsidRPr="009D7DC2">
              <w:rPr>
                <w:rFonts w:eastAsia="Times New Roman" w:cs="Times New Roman"/>
                <w:sz w:val="24"/>
                <w:szCs w:val="24"/>
                <w:lang w:eastAsia="es-ES"/>
              </w:rPr>
              <w:t>a través de las cuales se</w:t>
            </w:r>
            <w:r>
              <w:rPr>
                <w:rFonts w:eastAsia="Times New Roman" w:cs="Times New Roman"/>
                <w:b/>
                <w:sz w:val="24"/>
                <w:szCs w:val="24"/>
                <w:lang w:eastAsia="es-ES"/>
              </w:rPr>
              <w:t xml:space="preserve"> </w:t>
            </w:r>
            <w:r w:rsidR="00E64212" w:rsidRPr="009D7DC2">
              <w:rPr>
                <w:rFonts w:eastAsia="Times New Roman" w:cs="Times New Roman"/>
                <w:sz w:val="24"/>
                <w:szCs w:val="24"/>
                <w:lang w:eastAsia="es-ES"/>
              </w:rPr>
              <w:t xml:space="preserve"> promueven la democracia participativa, desde los principios y valores mutualistas, para que en las escuelas se fomente una cultura de paz, economía solidaria y autogestión, promoviendo el desarrollo e incentivando el ahorro desde temprana edad.</w:t>
            </w:r>
          </w:p>
        </w:tc>
      </w:tr>
      <w:tr w:rsidR="00751CCC" w:rsidRPr="00F0601C" w:rsidTr="009D7DC2">
        <w:trPr>
          <w:trHeight w:val="613"/>
        </w:trPr>
        <w:tc>
          <w:tcPr>
            <w:tcW w:w="2972" w:type="dxa"/>
            <w:shd w:val="clear" w:color="auto" w:fill="DBE5F1" w:themeFill="accent1" w:themeFillTint="33"/>
          </w:tcPr>
          <w:p w:rsidR="00751CCC" w:rsidRPr="009D7DC2" w:rsidRDefault="00751CCC" w:rsidP="00751CCC">
            <w:pPr>
              <w:ind w:right="119"/>
              <w:rPr>
                <w:rFonts w:asciiTheme="minorHAnsi" w:hAnsiTheme="minorHAnsi"/>
              </w:rPr>
            </w:pPr>
            <w:r w:rsidRPr="009D7DC2">
              <w:rPr>
                <w:rFonts w:asciiTheme="minorHAnsi" w:hAnsiTheme="minorHAnsi"/>
              </w:rPr>
              <w:t>Requisitos para participar en el programa</w:t>
            </w:r>
          </w:p>
        </w:tc>
        <w:tc>
          <w:tcPr>
            <w:tcW w:w="6804" w:type="dxa"/>
          </w:tcPr>
          <w:p w:rsidR="00751CCC" w:rsidRPr="009D7DC2" w:rsidRDefault="00F0601C" w:rsidP="00751CCC">
            <w:pPr>
              <w:ind w:right="119"/>
              <w:rPr>
                <w:rFonts w:asciiTheme="minorHAnsi" w:hAnsiTheme="minorHAnsi"/>
              </w:rPr>
            </w:pPr>
            <w:r w:rsidRPr="009D7DC2">
              <w:rPr>
                <w:rFonts w:asciiTheme="minorHAnsi" w:hAnsiTheme="minorHAnsi"/>
              </w:rPr>
              <w:t>Pertenecer a un centro educativo público.</w:t>
            </w:r>
          </w:p>
        </w:tc>
      </w:tr>
      <w:tr w:rsidR="00751CCC" w:rsidRPr="00F0601C" w:rsidTr="009D7DC2">
        <w:tc>
          <w:tcPr>
            <w:tcW w:w="2972" w:type="dxa"/>
            <w:shd w:val="clear" w:color="auto" w:fill="DBE5F1" w:themeFill="accent1" w:themeFillTint="33"/>
          </w:tcPr>
          <w:p w:rsidR="00751CCC" w:rsidRPr="009D7DC2" w:rsidRDefault="00751CCC" w:rsidP="00751CCC">
            <w:pPr>
              <w:ind w:right="119"/>
              <w:rPr>
                <w:rFonts w:asciiTheme="minorHAnsi" w:hAnsiTheme="minorHAnsi"/>
              </w:rPr>
            </w:pPr>
          </w:p>
          <w:p w:rsidR="00751CCC" w:rsidRPr="009D7DC2" w:rsidRDefault="00751CCC" w:rsidP="00751CCC">
            <w:pPr>
              <w:ind w:right="119"/>
              <w:rPr>
                <w:rFonts w:asciiTheme="minorHAnsi" w:hAnsiTheme="minorHAnsi"/>
              </w:rPr>
            </w:pPr>
            <w:r w:rsidRPr="009D7DC2">
              <w:rPr>
                <w:rFonts w:asciiTheme="minorHAnsi" w:hAnsiTheme="minorHAnsi"/>
              </w:rPr>
              <w:t>Costo del servicio</w:t>
            </w:r>
          </w:p>
        </w:tc>
        <w:tc>
          <w:tcPr>
            <w:tcW w:w="6804" w:type="dxa"/>
          </w:tcPr>
          <w:p w:rsidR="009D7DC2" w:rsidRDefault="009D7DC2" w:rsidP="00751CCC">
            <w:pPr>
              <w:ind w:right="119"/>
              <w:rPr>
                <w:rFonts w:asciiTheme="minorHAnsi" w:hAnsiTheme="minorHAnsi"/>
              </w:rPr>
            </w:pPr>
          </w:p>
          <w:p w:rsidR="00751CCC" w:rsidRPr="009D7DC2" w:rsidRDefault="009D7DC2" w:rsidP="00751CCC">
            <w:pPr>
              <w:ind w:right="119"/>
              <w:rPr>
                <w:rFonts w:asciiTheme="minorHAnsi" w:hAnsiTheme="minorHAnsi"/>
              </w:rPr>
            </w:pPr>
            <w:r>
              <w:rPr>
                <w:rFonts w:asciiTheme="minorHAnsi" w:hAnsiTheme="minorHAnsi"/>
              </w:rPr>
              <w:t>Gratuito</w:t>
            </w:r>
          </w:p>
        </w:tc>
      </w:tr>
      <w:tr w:rsidR="00751CCC" w:rsidRPr="00F0601C" w:rsidTr="009D7DC2">
        <w:trPr>
          <w:trHeight w:val="2026"/>
        </w:trPr>
        <w:tc>
          <w:tcPr>
            <w:tcW w:w="2972" w:type="dxa"/>
            <w:shd w:val="clear" w:color="auto" w:fill="DBE5F1" w:themeFill="accent1" w:themeFillTint="33"/>
          </w:tcPr>
          <w:p w:rsidR="00751CCC" w:rsidRPr="009D7DC2" w:rsidRDefault="00751CCC" w:rsidP="00751CCC">
            <w:pPr>
              <w:ind w:right="119"/>
              <w:rPr>
                <w:rFonts w:asciiTheme="minorHAnsi" w:hAnsiTheme="minorHAnsi"/>
              </w:rPr>
            </w:pPr>
          </w:p>
          <w:p w:rsidR="00751CCC" w:rsidRPr="009D7DC2" w:rsidRDefault="00751CCC" w:rsidP="00751CCC">
            <w:pPr>
              <w:ind w:right="119"/>
              <w:rPr>
                <w:rFonts w:asciiTheme="minorHAnsi" w:hAnsiTheme="minorHAnsi"/>
              </w:rPr>
            </w:pPr>
            <w:r w:rsidRPr="009D7DC2">
              <w:rPr>
                <w:rFonts w:asciiTheme="minorHAnsi" w:hAnsiTheme="minorHAnsi"/>
              </w:rPr>
              <w:t xml:space="preserve">Marco normativo </w:t>
            </w:r>
          </w:p>
        </w:tc>
        <w:tc>
          <w:tcPr>
            <w:tcW w:w="6804" w:type="dxa"/>
          </w:tcPr>
          <w:p w:rsidR="00F0601C" w:rsidRPr="009D7DC2" w:rsidRDefault="00F0601C" w:rsidP="0031414E">
            <w:pPr>
              <w:pStyle w:val="ListParagraph"/>
              <w:numPr>
                <w:ilvl w:val="0"/>
                <w:numId w:val="13"/>
              </w:numPr>
              <w:rPr>
                <w:rFonts w:eastAsia="Times New Roman" w:cs="Times New Roman"/>
                <w:sz w:val="24"/>
                <w:szCs w:val="24"/>
                <w:lang w:eastAsia="es-ES"/>
              </w:rPr>
            </w:pPr>
            <w:r w:rsidRPr="009D7DC2">
              <w:rPr>
                <w:rFonts w:eastAsia="Times New Roman" w:cs="Times New Roman"/>
                <w:sz w:val="24"/>
                <w:szCs w:val="24"/>
                <w:lang w:eastAsia="es-ES"/>
              </w:rPr>
              <w:t>Política 7 Plan Decenal de Educación “Promover la equidad educativa, con apoyo a los estudiantes provenientes de los sectores sociales más vulnerables”.</w:t>
            </w:r>
          </w:p>
          <w:p w:rsidR="008268CA" w:rsidRPr="009D7DC2" w:rsidRDefault="00F0601C" w:rsidP="008268CA">
            <w:pPr>
              <w:pStyle w:val="ListParagraph"/>
              <w:numPr>
                <w:ilvl w:val="0"/>
                <w:numId w:val="13"/>
              </w:numPr>
              <w:ind w:right="119"/>
              <w:rPr>
                <w:rFonts w:eastAsia="Times New Roman" w:cs="Times New Roman"/>
                <w:sz w:val="24"/>
                <w:szCs w:val="24"/>
                <w:lang w:eastAsia="es-ES"/>
              </w:rPr>
            </w:pPr>
            <w:r w:rsidRPr="009D7DC2">
              <w:rPr>
                <w:rFonts w:eastAsia="Times New Roman" w:cs="Times New Roman"/>
                <w:sz w:val="24"/>
                <w:szCs w:val="24"/>
                <w:lang w:eastAsia="es-ES"/>
              </w:rPr>
              <w:t>Ley de Educación 66-97</w:t>
            </w:r>
            <w:r w:rsidR="002F5D10">
              <w:rPr>
                <w:rFonts w:eastAsia="Times New Roman" w:cs="Times New Roman"/>
                <w:sz w:val="24"/>
                <w:szCs w:val="24"/>
                <w:lang w:eastAsia="es-ES"/>
              </w:rPr>
              <w:t>,</w:t>
            </w:r>
            <w:r w:rsidRPr="009D7DC2">
              <w:rPr>
                <w:rFonts w:eastAsia="Times New Roman" w:cs="Times New Roman"/>
                <w:sz w:val="24"/>
                <w:szCs w:val="24"/>
                <w:lang w:eastAsia="es-ES"/>
              </w:rPr>
              <w:t xml:space="preserve"> Artículo 177.</w:t>
            </w:r>
          </w:p>
          <w:p w:rsidR="008268CA" w:rsidRPr="009D7DC2" w:rsidRDefault="00F3314F" w:rsidP="009D7DC2">
            <w:pPr>
              <w:pStyle w:val="ListParagraph"/>
              <w:numPr>
                <w:ilvl w:val="0"/>
                <w:numId w:val="13"/>
              </w:numPr>
            </w:pPr>
            <w:r w:rsidRPr="009D7DC2">
              <w:t>Estrategia Nacional de Desarrollo</w:t>
            </w:r>
            <w:r w:rsidR="002F5D10">
              <w:t>,</w:t>
            </w:r>
            <w:r w:rsidRPr="009D7DC2">
              <w:t xml:space="preserve"> </w:t>
            </w:r>
            <w:r w:rsidR="008268CA" w:rsidRPr="009D7DC2">
              <w:t xml:space="preserve">Eje II Objetivo Específico </w:t>
            </w:r>
            <w:r w:rsidR="001D0EB6" w:rsidRPr="009D7DC2">
              <w:t>2.3.2, Lineamientos</w:t>
            </w:r>
            <w:r w:rsidR="008268CA" w:rsidRPr="009D7DC2">
              <w:t xml:space="preserve">   </w:t>
            </w:r>
            <w:r w:rsidR="001D0EB6" w:rsidRPr="009D7DC2">
              <w:t>2.3.2.1 y 2.3.3.1</w:t>
            </w:r>
          </w:p>
          <w:p w:rsidR="00751CCC" w:rsidRPr="009D7DC2" w:rsidRDefault="00372260" w:rsidP="009D7DC2">
            <w:pPr>
              <w:pStyle w:val="ListParagraph"/>
              <w:numPr>
                <w:ilvl w:val="0"/>
                <w:numId w:val="13"/>
              </w:numPr>
              <w:rPr>
                <w:rFonts w:eastAsia="Times New Roman" w:cs="Times New Roman"/>
                <w:sz w:val="24"/>
                <w:szCs w:val="24"/>
                <w:lang w:eastAsia="es-ES"/>
              </w:rPr>
            </w:pPr>
            <w:r w:rsidRPr="009D7DC2">
              <w:rPr>
                <w:rFonts w:eastAsia="Times New Roman" w:cs="Times New Roman"/>
                <w:sz w:val="24"/>
                <w:szCs w:val="24"/>
                <w:lang w:eastAsia="es-ES"/>
              </w:rPr>
              <w:t xml:space="preserve">Plan Nacional para la </w:t>
            </w:r>
            <w:r w:rsidR="001D0EB6" w:rsidRPr="009D7DC2">
              <w:rPr>
                <w:rFonts w:eastAsia="Times New Roman" w:cs="Times New Roman"/>
                <w:sz w:val="24"/>
                <w:szCs w:val="24"/>
                <w:lang w:eastAsia="es-ES"/>
              </w:rPr>
              <w:t>Soberanía</w:t>
            </w:r>
            <w:r w:rsidRPr="009D7DC2">
              <w:rPr>
                <w:rFonts w:eastAsia="Times New Roman" w:cs="Times New Roman"/>
                <w:sz w:val="24"/>
                <w:szCs w:val="24"/>
                <w:lang w:eastAsia="es-ES"/>
              </w:rPr>
              <w:t xml:space="preserve"> y Seguridad </w:t>
            </w:r>
            <w:r w:rsidR="002F5D10">
              <w:rPr>
                <w:rFonts w:eastAsia="Times New Roman" w:cs="Times New Roman"/>
                <w:sz w:val="24"/>
                <w:szCs w:val="24"/>
                <w:lang w:eastAsia="es-ES"/>
              </w:rPr>
              <w:t xml:space="preserve">Alimentaria </w:t>
            </w:r>
          </w:p>
        </w:tc>
      </w:tr>
      <w:tr w:rsidR="00751CCC" w:rsidRPr="00F0601C" w:rsidTr="009D7DC2">
        <w:tc>
          <w:tcPr>
            <w:tcW w:w="2972" w:type="dxa"/>
            <w:shd w:val="clear" w:color="auto" w:fill="DBE5F1" w:themeFill="accent1" w:themeFillTint="33"/>
          </w:tcPr>
          <w:p w:rsidR="00751CCC" w:rsidRPr="009D7DC2" w:rsidRDefault="00751CCC" w:rsidP="00751CCC">
            <w:pPr>
              <w:ind w:right="119"/>
              <w:rPr>
                <w:rFonts w:asciiTheme="minorHAnsi" w:hAnsiTheme="minorHAnsi"/>
              </w:rPr>
            </w:pPr>
          </w:p>
          <w:p w:rsidR="00751CCC" w:rsidRPr="009D7DC2" w:rsidRDefault="00751CCC" w:rsidP="00751CCC">
            <w:pPr>
              <w:ind w:right="119"/>
              <w:rPr>
                <w:rFonts w:asciiTheme="minorHAnsi" w:hAnsiTheme="minorHAnsi"/>
              </w:rPr>
            </w:pPr>
            <w:r w:rsidRPr="009D7DC2">
              <w:rPr>
                <w:rFonts w:asciiTheme="minorHAnsi" w:hAnsiTheme="minorHAnsi"/>
              </w:rPr>
              <w:t xml:space="preserve">Información de contacto </w:t>
            </w:r>
          </w:p>
        </w:tc>
        <w:tc>
          <w:tcPr>
            <w:tcW w:w="6804" w:type="dxa"/>
          </w:tcPr>
          <w:p w:rsidR="00751CCC" w:rsidRPr="009D7DC2" w:rsidRDefault="008A5FFF" w:rsidP="00751CCC">
            <w:pPr>
              <w:ind w:right="119"/>
              <w:rPr>
                <w:rFonts w:asciiTheme="minorHAnsi" w:hAnsiTheme="minorHAnsi"/>
              </w:rPr>
            </w:pPr>
            <w:r w:rsidRPr="009D7DC2">
              <w:rPr>
                <w:rFonts w:asciiTheme="minorHAnsi" w:hAnsiTheme="minorHAnsi"/>
              </w:rPr>
              <w:t>Dirección de Salud y Servicios Sociales</w:t>
            </w:r>
          </w:p>
          <w:p w:rsidR="008268CA" w:rsidRPr="009D7DC2" w:rsidRDefault="00751CCC" w:rsidP="00751CCC">
            <w:pPr>
              <w:ind w:right="119"/>
              <w:rPr>
                <w:rFonts w:asciiTheme="minorHAnsi" w:hAnsiTheme="minorHAnsi"/>
              </w:rPr>
            </w:pPr>
            <w:r w:rsidRPr="009D7DC2">
              <w:rPr>
                <w:rFonts w:asciiTheme="minorHAnsi" w:hAnsiTheme="minorHAnsi"/>
              </w:rPr>
              <w:t xml:space="preserve">Tel. </w:t>
            </w:r>
            <w:r w:rsidR="001D0EB6" w:rsidRPr="009D7DC2">
              <w:rPr>
                <w:rFonts w:asciiTheme="minorHAnsi" w:hAnsiTheme="minorHAnsi"/>
              </w:rPr>
              <w:t>829-893-4834 441</w:t>
            </w:r>
          </w:p>
          <w:p w:rsidR="00751CCC" w:rsidRPr="00F0601C" w:rsidRDefault="00751CCC" w:rsidP="00751CCC">
            <w:pPr>
              <w:ind w:right="119"/>
              <w:rPr>
                <w:rFonts w:ascii="Arial" w:hAnsi="Arial" w:cs="Arial"/>
              </w:rPr>
            </w:pPr>
            <w:r w:rsidRPr="009D7DC2">
              <w:rPr>
                <w:rFonts w:asciiTheme="minorHAnsi" w:hAnsiTheme="minorHAnsi"/>
              </w:rPr>
              <w:t>Dirección:</w:t>
            </w:r>
            <w:r w:rsidR="00C23EA0" w:rsidRPr="009D7DC2">
              <w:rPr>
                <w:rFonts w:asciiTheme="minorHAnsi" w:hAnsiTheme="minorHAnsi"/>
              </w:rPr>
              <w:t xml:space="preserve"> Calle Rafael Augusto Sánchez 41, Piantini</w:t>
            </w:r>
          </w:p>
        </w:tc>
      </w:tr>
    </w:tbl>
    <w:p w:rsidR="00751CCC" w:rsidRPr="00F0601C" w:rsidRDefault="00751CCC" w:rsidP="00DF0BDA">
      <w:pPr>
        <w:ind w:right="119"/>
        <w:jc w:val="both"/>
        <w:rPr>
          <w:rFonts w:ascii="Arial" w:hAnsi="Arial" w:cs="Arial"/>
        </w:rPr>
      </w:pPr>
    </w:p>
    <w:sectPr w:rsidR="00751CCC" w:rsidRPr="00F0601C" w:rsidSect="00A85AB5">
      <w:headerReference w:type="default" r:id="rId7"/>
      <w:pgSz w:w="11906" w:h="16838"/>
      <w:pgMar w:top="1560" w:right="566" w:bottom="1276"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68C" w:rsidRDefault="00B1368C" w:rsidP="00CE414D">
      <w:r>
        <w:separator/>
      </w:r>
    </w:p>
  </w:endnote>
  <w:endnote w:type="continuationSeparator" w:id="0">
    <w:p w:rsidR="00B1368C" w:rsidRDefault="00B1368C" w:rsidP="00CE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68C" w:rsidRDefault="00B1368C" w:rsidP="00CE414D">
      <w:r>
        <w:separator/>
      </w:r>
    </w:p>
  </w:footnote>
  <w:footnote w:type="continuationSeparator" w:id="0">
    <w:p w:rsidR="00B1368C" w:rsidRDefault="00B1368C" w:rsidP="00CE4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99" w:rsidRDefault="00D35499" w:rsidP="00D35499">
    <w:pPr>
      <w:pStyle w:val="Header"/>
      <w:jc w:val="center"/>
      <w:rPr>
        <w:rFonts w:ascii="Palatino Linotype" w:hAnsi="Palatino Linotype"/>
        <w:b/>
        <w:sz w:val="32"/>
        <w:szCs w:val="32"/>
      </w:rPr>
    </w:pPr>
  </w:p>
  <w:p w:rsidR="00D35499" w:rsidRDefault="00D35499" w:rsidP="00D35499">
    <w:pPr>
      <w:pStyle w:val="Header"/>
      <w:jc w:val="center"/>
      <w:rPr>
        <w:rFonts w:ascii="Palatino Linotype" w:hAnsi="Palatino Linotype"/>
        <w:b/>
        <w:sz w:val="32"/>
        <w:szCs w:val="32"/>
      </w:rPr>
    </w:pPr>
    <w:r>
      <w:rPr>
        <w:noProof/>
        <w:lang w:val="es-DO" w:eastAsia="es-DO"/>
      </w:rPr>
      <w:drawing>
        <wp:inline distT="0" distB="0" distL="0" distR="0" wp14:anchorId="66EDF8E6" wp14:editId="52727BC0">
          <wp:extent cx="1580421" cy="580929"/>
          <wp:effectExtent l="0" t="0" r="127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ABI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842" cy="594316"/>
                  </a:xfrm>
                  <a:prstGeom prst="rect">
                    <a:avLst/>
                  </a:prstGeom>
                </pic:spPr>
              </pic:pic>
            </a:graphicData>
          </a:graphic>
        </wp:inline>
      </w:drawing>
    </w:r>
  </w:p>
  <w:p w:rsidR="00D35499" w:rsidRPr="007873B6" w:rsidRDefault="00D35499" w:rsidP="00D35499">
    <w:pPr>
      <w:pStyle w:val="Header"/>
      <w:jc w:val="center"/>
      <w:rPr>
        <w:rFonts w:ascii="Palatino Linotype" w:hAnsi="Palatino Linotype"/>
        <w:b/>
        <w:sz w:val="32"/>
        <w:szCs w:val="32"/>
      </w:rPr>
    </w:pPr>
    <w:r w:rsidRPr="007873B6">
      <w:rPr>
        <w:rFonts w:ascii="Palatino Linotype" w:hAnsi="Palatino Linotype"/>
        <w:b/>
        <w:sz w:val="32"/>
        <w:szCs w:val="32"/>
      </w:rPr>
      <w:t xml:space="preserve">Instituto Nacional de Bienestar Estudiantil </w:t>
    </w:r>
  </w:p>
  <w:p w:rsidR="00D35499" w:rsidRPr="002F5D10" w:rsidRDefault="00D35499" w:rsidP="002F5D10">
    <w:pPr>
      <w:pStyle w:val="Header"/>
      <w:jc w:val="center"/>
      <w:rPr>
        <w:rFonts w:ascii="Palatino Linotype" w:hAnsi="Palatino Linotype"/>
        <w:b/>
      </w:rPr>
    </w:pPr>
    <w:r w:rsidRPr="007873B6">
      <w:rPr>
        <w:rFonts w:ascii="Palatino Linotype" w:hAnsi="Palatino Linotype"/>
        <w:b/>
        <w:sz w:val="32"/>
        <w:szCs w:val="32"/>
      </w:rPr>
      <w:t xml:space="preserve">Dirección de </w:t>
    </w:r>
    <w:r w:rsidR="00305B87">
      <w:rPr>
        <w:rFonts w:ascii="Palatino Linotype" w:hAnsi="Palatino Linotype"/>
        <w:b/>
        <w:sz w:val="32"/>
        <w:szCs w:val="32"/>
      </w:rPr>
      <w:t>Salud y Servicios Sociales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7C3"/>
    <w:multiLevelType w:val="hybridMultilevel"/>
    <w:tmpl w:val="D7C4019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8A8366A"/>
    <w:multiLevelType w:val="hybridMultilevel"/>
    <w:tmpl w:val="08AADC32"/>
    <w:lvl w:ilvl="0" w:tplc="4B4C29D0">
      <w:numFmt w:val="bullet"/>
      <w:lvlText w:val="-"/>
      <w:lvlJc w:val="left"/>
      <w:pPr>
        <w:ind w:left="720" w:hanging="360"/>
      </w:pPr>
      <w:rPr>
        <w:rFonts w:ascii="Arial" w:eastAsia="Times New Roman" w:hAnsi="Arial" w:cs="Arial" w:hint="default"/>
        <w:b w:val="0"/>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B9E529B"/>
    <w:multiLevelType w:val="hybridMultilevel"/>
    <w:tmpl w:val="8362E63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1000039D"/>
    <w:multiLevelType w:val="hybridMultilevel"/>
    <w:tmpl w:val="F784252C"/>
    <w:lvl w:ilvl="0" w:tplc="B3C62692">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752561E"/>
    <w:multiLevelType w:val="multilevel"/>
    <w:tmpl w:val="24EA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61910"/>
    <w:multiLevelType w:val="hybridMultilevel"/>
    <w:tmpl w:val="65887438"/>
    <w:lvl w:ilvl="0" w:tplc="1E0AE2E2">
      <w:numFmt w:val="bullet"/>
      <w:lvlText w:val="-"/>
      <w:lvlJc w:val="left"/>
      <w:pPr>
        <w:ind w:left="720" w:hanging="360"/>
      </w:pPr>
      <w:rPr>
        <w:rFonts w:ascii="Calibri" w:eastAsiaTheme="minorHAnsi" w:hAnsi="Calibri"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E98652A"/>
    <w:multiLevelType w:val="multilevel"/>
    <w:tmpl w:val="A8C63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05E21"/>
    <w:multiLevelType w:val="hybridMultilevel"/>
    <w:tmpl w:val="AC80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279B7"/>
    <w:multiLevelType w:val="hybridMultilevel"/>
    <w:tmpl w:val="CAF6FB96"/>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9" w15:restartNumberingAfterBreak="0">
    <w:nsid w:val="2C9E5A0D"/>
    <w:multiLevelType w:val="hybridMultilevel"/>
    <w:tmpl w:val="FF26236E"/>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0" w15:restartNumberingAfterBreak="0">
    <w:nsid w:val="3E4D49C7"/>
    <w:multiLevelType w:val="hybridMultilevel"/>
    <w:tmpl w:val="1144A4F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53EB2847"/>
    <w:multiLevelType w:val="hybridMultilevel"/>
    <w:tmpl w:val="9DC40504"/>
    <w:lvl w:ilvl="0" w:tplc="1E0AE2E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6167D2"/>
    <w:multiLevelType w:val="hybridMultilevel"/>
    <w:tmpl w:val="7174E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C0A282A"/>
    <w:multiLevelType w:val="multilevel"/>
    <w:tmpl w:val="14AA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34C8E"/>
    <w:multiLevelType w:val="hybridMultilevel"/>
    <w:tmpl w:val="2F46EAD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66047EA4"/>
    <w:multiLevelType w:val="hybridMultilevel"/>
    <w:tmpl w:val="7810736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711920DB"/>
    <w:multiLevelType w:val="hybridMultilevel"/>
    <w:tmpl w:val="27EAAFE0"/>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3"/>
  </w:num>
  <w:num w:numId="4">
    <w:abstractNumId w:val="12"/>
  </w:num>
  <w:num w:numId="5">
    <w:abstractNumId w:val="0"/>
  </w:num>
  <w:num w:numId="6">
    <w:abstractNumId w:val="16"/>
  </w:num>
  <w:num w:numId="7">
    <w:abstractNumId w:val="10"/>
  </w:num>
  <w:num w:numId="8">
    <w:abstractNumId w:val="5"/>
  </w:num>
  <w:num w:numId="9">
    <w:abstractNumId w:val="8"/>
  </w:num>
  <w:num w:numId="10">
    <w:abstractNumId w:val="9"/>
  </w:num>
  <w:num w:numId="11">
    <w:abstractNumId w:val="13"/>
  </w:num>
  <w:num w:numId="12">
    <w:abstractNumId w:val="7"/>
  </w:num>
  <w:num w:numId="13">
    <w:abstractNumId w:val="1"/>
  </w:num>
  <w:num w:numId="14">
    <w:abstractNumId w:val="14"/>
  </w:num>
  <w:num w:numId="15">
    <w:abstractNumId w:val="15"/>
  </w:num>
  <w:num w:numId="16">
    <w:abstractNumId w:val="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5B"/>
    <w:rsid w:val="00000402"/>
    <w:rsid w:val="0004252B"/>
    <w:rsid w:val="00072731"/>
    <w:rsid w:val="000C6D22"/>
    <w:rsid w:val="00172486"/>
    <w:rsid w:val="001C09E4"/>
    <w:rsid w:val="001C43D5"/>
    <w:rsid w:val="001D0EB6"/>
    <w:rsid w:val="00240BFB"/>
    <w:rsid w:val="00245061"/>
    <w:rsid w:val="00261E95"/>
    <w:rsid w:val="00283811"/>
    <w:rsid w:val="0028583F"/>
    <w:rsid w:val="002A05F7"/>
    <w:rsid w:val="002A50B7"/>
    <w:rsid w:val="002A52DA"/>
    <w:rsid w:val="002B4A3E"/>
    <w:rsid w:val="002E7D10"/>
    <w:rsid w:val="002F5D10"/>
    <w:rsid w:val="00305B87"/>
    <w:rsid w:val="0031414E"/>
    <w:rsid w:val="00372260"/>
    <w:rsid w:val="003B4558"/>
    <w:rsid w:val="003B6F37"/>
    <w:rsid w:val="003D7B13"/>
    <w:rsid w:val="00401EDF"/>
    <w:rsid w:val="0042116D"/>
    <w:rsid w:val="004741C7"/>
    <w:rsid w:val="004D38F4"/>
    <w:rsid w:val="004E0674"/>
    <w:rsid w:val="004F485E"/>
    <w:rsid w:val="0050445B"/>
    <w:rsid w:val="00525CBF"/>
    <w:rsid w:val="005B5898"/>
    <w:rsid w:val="005E1879"/>
    <w:rsid w:val="005E56C9"/>
    <w:rsid w:val="005F2925"/>
    <w:rsid w:val="005F7092"/>
    <w:rsid w:val="006348B5"/>
    <w:rsid w:val="00644505"/>
    <w:rsid w:val="00680177"/>
    <w:rsid w:val="00687517"/>
    <w:rsid w:val="00691421"/>
    <w:rsid w:val="00692670"/>
    <w:rsid w:val="00692A9C"/>
    <w:rsid w:val="00751CCC"/>
    <w:rsid w:val="00784AC9"/>
    <w:rsid w:val="00793A57"/>
    <w:rsid w:val="0079413F"/>
    <w:rsid w:val="007B07C8"/>
    <w:rsid w:val="007C670B"/>
    <w:rsid w:val="007F457F"/>
    <w:rsid w:val="008268CA"/>
    <w:rsid w:val="00853EB6"/>
    <w:rsid w:val="00871F77"/>
    <w:rsid w:val="008A0E45"/>
    <w:rsid w:val="008A5FFF"/>
    <w:rsid w:val="00906C1F"/>
    <w:rsid w:val="00943FBE"/>
    <w:rsid w:val="00990A4C"/>
    <w:rsid w:val="009B25FC"/>
    <w:rsid w:val="009C1F74"/>
    <w:rsid w:val="009C6E7E"/>
    <w:rsid w:val="009D7DC2"/>
    <w:rsid w:val="009F267F"/>
    <w:rsid w:val="009F4C31"/>
    <w:rsid w:val="00A1124C"/>
    <w:rsid w:val="00A157E3"/>
    <w:rsid w:val="00A37AE2"/>
    <w:rsid w:val="00A71D18"/>
    <w:rsid w:val="00A81DA1"/>
    <w:rsid w:val="00A85AB5"/>
    <w:rsid w:val="00AA7709"/>
    <w:rsid w:val="00AD3B20"/>
    <w:rsid w:val="00AE6CD6"/>
    <w:rsid w:val="00B1368C"/>
    <w:rsid w:val="00B24632"/>
    <w:rsid w:val="00B372DD"/>
    <w:rsid w:val="00B43150"/>
    <w:rsid w:val="00B85B2D"/>
    <w:rsid w:val="00BB5A08"/>
    <w:rsid w:val="00BB7477"/>
    <w:rsid w:val="00BC5EC4"/>
    <w:rsid w:val="00BE3782"/>
    <w:rsid w:val="00C02F74"/>
    <w:rsid w:val="00C23EA0"/>
    <w:rsid w:val="00C801C9"/>
    <w:rsid w:val="00C87722"/>
    <w:rsid w:val="00CB55AD"/>
    <w:rsid w:val="00CE414D"/>
    <w:rsid w:val="00CF0B50"/>
    <w:rsid w:val="00D113CB"/>
    <w:rsid w:val="00D161F8"/>
    <w:rsid w:val="00D34625"/>
    <w:rsid w:val="00D35499"/>
    <w:rsid w:val="00D47C10"/>
    <w:rsid w:val="00D56647"/>
    <w:rsid w:val="00D740EF"/>
    <w:rsid w:val="00D946F1"/>
    <w:rsid w:val="00DF0BDA"/>
    <w:rsid w:val="00E448DB"/>
    <w:rsid w:val="00E540E3"/>
    <w:rsid w:val="00E54FBF"/>
    <w:rsid w:val="00E64212"/>
    <w:rsid w:val="00E8600C"/>
    <w:rsid w:val="00EA3021"/>
    <w:rsid w:val="00EC3229"/>
    <w:rsid w:val="00EE7790"/>
    <w:rsid w:val="00EF71AD"/>
    <w:rsid w:val="00F0601C"/>
    <w:rsid w:val="00F32373"/>
    <w:rsid w:val="00F3314F"/>
    <w:rsid w:val="00F33784"/>
    <w:rsid w:val="00F36C6E"/>
    <w:rsid w:val="00F45B83"/>
    <w:rsid w:val="00F75131"/>
    <w:rsid w:val="00F85412"/>
    <w:rsid w:val="00FF37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832741-CF6D-4B67-977A-09C613A8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5B"/>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14D"/>
    <w:pPr>
      <w:tabs>
        <w:tab w:val="center" w:pos="4252"/>
        <w:tab w:val="right" w:pos="8504"/>
      </w:tabs>
    </w:pPr>
  </w:style>
  <w:style w:type="character" w:customStyle="1" w:styleId="HeaderChar">
    <w:name w:val="Header Char"/>
    <w:basedOn w:val="DefaultParagraphFont"/>
    <w:link w:val="Header"/>
    <w:uiPriority w:val="99"/>
    <w:rsid w:val="00CE414D"/>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CE414D"/>
    <w:pPr>
      <w:tabs>
        <w:tab w:val="center" w:pos="4252"/>
        <w:tab w:val="right" w:pos="8504"/>
      </w:tabs>
    </w:pPr>
  </w:style>
  <w:style w:type="character" w:customStyle="1" w:styleId="FooterChar">
    <w:name w:val="Footer Char"/>
    <w:basedOn w:val="DefaultParagraphFont"/>
    <w:link w:val="Footer"/>
    <w:uiPriority w:val="99"/>
    <w:rsid w:val="00CE414D"/>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CE414D"/>
    <w:rPr>
      <w:rFonts w:ascii="Tahoma" w:hAnsi="Tahoma" w:cs="Tahoma"/>
      <w:sz w:val="16"/>
      <w:szCs w:val="16"/>
    </w:rPr>
  </w:style>
  <w:style w:type="character" w:customStyle="1" w:styleId="BalloonTextChar">
    <w:name w:val="Balloon Text Char"/>
    <w:basedOn w:val="DefaultParagraphFont"/>
    <w:link w:val="BalloonText"/>
    <w:uiPriority w:val="99"/>
    <w:semiHidden/>
    <w:rsid w:val="00CE414D"/>
    <w:rPr>
      <w:rFonts w:ascii="Tahoma" w:eastAsia="Times New Roman" w:hAnsi="Tahoma" w:cs="Tahoma"/>
      <w:sz w:val="16"/>
      <w:szCs w:val="16"/>
      <w:lang w:eastAsia="es-ES"/>
    </w:rPr>
  </w:style>
  <w:style w:type="paragraph" w:styleId="ListParagraph">
    <w:name w:val="List Paragraph"/>
    <w:basedOn w:val="Normal"/>
    <w:uiPriority w:val="34"/>
    <w:qFormat/>
    <w:rsid w:val="00BB7477"/>
    <w:pPr>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D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D7DC2"/>
    <w:rPr>
      <w:rFonts w:ascii="Calibri" w:eastAsia="SimSun" w:hAnsi="Calibri" w:cs="Times New Roman"/>
      <w:lang w:val="en-US"/>
    </w:rPr>
  </w:style>
  <w:style w:type="character" w:customStyle="1" w:styleId="NoSpacingChar">
    <w:name w:val="No Spacing Char"/>
    <w:link w:val="NoSpacing"/>
    <w:uiPriority w:val="1"/>
    <w:rsid w:val="009D7DC2"/>
    <w:rPr>
      <w:rFonts w:ascii="Calibri" w:eastAsia="SimSu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18804">
      <w:bodyDiv w:val="1"/>
      <w:marLeft w:val="0"/>
      <w:marRight w:val="0"/>
      <w:marTop w:val="0"/>
      <w:marBottom w:val="0"/>
      <w:divBdr>
        <w:top w:val="none" w:sz="0" w:space="0" w:color="auto"/>
        <w:left w:val="none" w:sz="0" w:space="0" w:color="auto"/>
        <w:bottom w:val="none" w:sz="0" w:space="0" w:color="auto"/>
        <w:right w:val="none" w:sz="0" w:space="0" w:color="auto"/>
      </w:divBdr>
    </w:div>
    <w:div w:id="1208831596">
      <w:bodyDiv w:val="1"/>
      <w:marLeft w:val="0"/>
      <w:marRight w:val="0"/>
      <w:marTop w:val="0"/>
      <w:marBottom w:val="0"/>
      <w:divBdr>
        <w:top w:val="none" w:sz="0" w:space="0" w:color="auto"/>
        <w:left w:val="none" w:sz="0" w:space="0" w:color="auto"/>
        <w:bottom w:val="none" w:sz="0" w:space="0" w:color="auto"/>
        <w:right w:val="none" w:sz="0" w:space="0" w:color="auto"/>
      </w:divBdr>
    </w:div>
    <w:div w:id="1654329423">
      <w:bodyDiv w:val="1"/>
      <w:marLeft w:val="0"/>
      <w:marRight w:val="0"/>
      <w:marTop w:val="0"/>
      <w:marBottom w:val="0"/>
      <w:divBdr>
        <w:top w:val="none" w:sz="0" w:space="0" w:color="auto"/>
        <w:left w:val="none" w:sz="0" w:space="0" w:color="auto"/>
        <w:bottom w:val="none" w:sz="0" w:space="0" w:color="auto"/>
        <w:right w:val="none" w:sz="0" w:space="0" w:color="auto"/>
      </w:divBdr>
    </w:div>
    <w:div w:id="1765571767">
      <w:bodyDiv w:val="1"/>
      <w:marLeft w:val="0"/>
      <w:marRight w:val="0"/>
      <w:marTop w:val="0"/>
      <w:marBottom w:val="0"/>
      <w:divBdr>
        <w:top w:val="none" w:sz="0" w:space="0" w:color="auto"/>
        <w:left w:val="none" w:sz="0" w:space="0" w:color="auto"/>
        <w:bottom w:val="none" w:sz="0" w:space="0" w:color="auto"/>
        <w:right w:val="none" w:sz="0" w:space="0" w:color="auto"/>
      </w:divBdr>
    </w:div>
    <w:div w:id="18560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3382</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Burgos Barrantes Benito</dc:creator>
  <cp:keywords/>
  <dc:description/>
  <cp:lastModifiedBy>Susana Doñe Corporan</cp:lastModifiedBy>
  <cp:revision>2</cp:revision>
  <cp:lastPrinted>2018-07-26T13:48:00Z</cp:lastPrinted>
  <dcterms:created xsi:type="dcterms:W3CDTF">2019-01-08T19:49:00Z</dcterms:created>
  <dcterms:modified xsi:type="dcterms:W3CDTF">2019-01-08T19:49:00Z</dcterms:modified>
</cp:coreProperties>
</file>