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C9" w:rsidRPr="00CE414D" w:rsidRDefault="0050445B" w:rsidP="00C02F74">
      <w:pPr>
        <w:pBdr>
          <w:bottom w:val="single" w:sz="4" w:space="1" w:color="auto"/>
        </w:pBdr>
        <w:ind w:left="-142" w:right="119"/>
        <w:jc w:val="center"/>
        <w:rPr>
          <w:rFonts w:ascii="Arial" w:hAnsi="Arial" w:cs="Arial"/>
          <w:b/>
          <w:sz w:val="28"/>
          <w:szCs w:val="28"/>
        </w:rPr>
      </w:pPr>
      <w:r w:rsidRPr="00CE414D">
        <w:rPr>
          <w:rFonts w:ascii="Arial" w:hAnsi="Arial" w:cs="Arial"/>
          <w:b/>
          <w:sz w:val="28"/>
          <w:szCs w:val="28"/>
        </w:rPr>
        <w:t xml:space="preserve">MODELO DE FICHA PROYECTOS </w:t>
      </w:r>
    </w:p>
    <w:p w:rsidR="0050445B" w:rsidRPr="006A449C" w:rsidRDefault="0050445B" w:rsidP="0050445B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20"/>
      </w:tblGrid>
      <w:tr w:rsidR="0050445B" w:rsidRPr="00963B64" w:rsidTr="00B24632">
        <w:trPr>
          <w:trHeight w:val="80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2F74" w:rsidRPr="00F36C6E" w:rsidRDefault="00072731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C6E">
              <w:rPr>
                <w:rFonts w:ascii="Arial" w:hAnsi="Arial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963B64" w:rsidRDefault="008642E4" w:rsidP="00C44308">
            <w:pPr>
              <w:rPr>
                <w:rFonts w:ascii="Arial" w:hAnsi="Arial" w:cs="Arial"/>
                <w:sz w:val="22"/>
                <w:szCs w:val="22"/>
              </w:rPr>
            </w:pPr>
            <w:r w:rsidRPr="008642E4">
              <w:rPr>
                <w:rFonts w:ascii="Arial" w:hAnsi="Arial" w:cs="Arial"/>
                <w:b/>
                <w:color w:val="0070C0"/>
                <w:sz w:val="22"/>
                <w:szCs w:val="22"/>
              </w:rPr>
              <w:t>PAE Sostenible</w:t>
            </w:r>
          </w:p>
        </w:tc>
      </w:tr>
      <w:tr w:rsidR="0050445B" w:rsidRPr="00963B64" w:rsidTr="00C44308">
        <w:trPr>
          <w:trHeight w:val="161"/>
        </w:trPr>
        <w:tc>
          <w:tcPr>
            <w:tcW w:w="28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F36C6E" w:rsidRDefault="0050445B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B24632">
        <w:trPr>
          <w:trHeight w:val="269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F36C6E" w:rsidRDefault="00072731" w:rsidP="00864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C6E">
              <w:rPr>
                <w:rFonts w:ascii="Arial" w:hAnsi="Arial" w:cs="Arial"/>
                <w:b/>
                <w:sz w:val="22"/>
                <w:szCs w:val="22"/>
              </w:rPr>
              <w:t xml:space="preserve">Entidad Ejecutoria: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963B64" w:rsidRDefault="008642E4" w:rsidP="00C44308">
            <w:pPr>
              <w:rPr>
                <w:rFonts w:ascii="Arial" w:hAnsi="Arial" w:cs="Arial"/>
                <w:sz w:val="22"/>
                <w:szCs w:val="22"/>
              </w:rPr>
            </w:pPr>
            <w:r w:rsidRPr="008642E4">
              <w:rPr>
                <w:rFonts w:ascii="Arial" w:hAnsi="Arial" w:cs="Arial"/>
                <w:b/>
                <w:color w:val="0070C0"/>
                <w:sz w:val="22"/>
                <w:szCs w:val="22"/>
              </w:rPr>
              <w:t>Cooperación Internacional</w:t>
            </w:r>
          </w:p>
        </w:tc>
      </w:tr>
      <w:tr w:rsidR="0050445B" w:rsidRPr="00963B64" w:rsidTr="00C44308">
        <w:trPr>
          <w:trHeight w:val="161"/>
        </w:trPr>
        <w:tc>
          <w:tcPr>
            <w:tcW w:w="28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F36C6E" w:rsidRDefault="0050445B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B24632">
        <w:trPr>
          <w:trHeight w:val="80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F36C6E" w:rsidRDefault="0050445B" w:rsidP="000727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C6E">
              <w:rPr>
                <w:rFonts w:ascii="Arial" w:hAnsi="Arial" w:cs="Arial"/>
                <w:b/>
                <w:sz w:val="22"/>
                <w:szCs w:val="22"/>
              </w:rPr>
              <w:t>Fecha de</w:t>
            </w:r>
            <w:r w:rsidR="00072731" w:rsidRPr="00F36C6E">
              <w:rPr>
                <w:rFonts w:ascii="Arial" w:hAnsi="Arial" w:cs="Arial"/>
                <w:b/>
                <w:sz w:val="22"/>
                <w:szCs w:val="22"/>
              </w:rPr>
              <w:t xml:space="preserve"> Inicio</w:t>
            </w:r>
            <w:r w:rsidRPr="00F36C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8642E4" w:rsidRDefault="00E761A3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15 Mayo</w:t>
            </w:r>
            <w:r w:rsidR="008642E4" w:rsidRPr="008642E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2014</w:t>
            </w:r>
          </w:p>
        </w:tc>
      </w:tr>
      <w:tr w:rsidR="0050445B" w:rsidRPr="00963B64" w:rsidTr="00C44308">
        <w:trPr>
          <w:trHeight w:val="161"/>
        </w:trPr>
        <w:tc>
          <w:tcPr>
            <w:tcW w:w="28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F36C6E" w:rsidRDefault="0050445B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B24632">
        <w:trPr>
          <w:trHeight w:val="80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F36C6E" w:rsidRDefault="00072731" w:rsidP="00D4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C6E">
              <w:rPr>
                <w:rFonts w:ascii="Arial" w:hAnsi="Arial" w:cs="Arial"/>
                <w:b/>
                <w:sz w:val="22"/>
                <w:szCs w:val="22"/>
              </w:rPr>
              <w:t>Fecha de Término</w:t>
            </w:r>
            <w:r w:rsidR="0050445B" w:rsidRPr="00F36C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8642E4" w:rsidRDefault="008642E4" w:rsidP="008642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42E4">
              <w:rPr>
                <w:rFonts w:ascii="Arial" w:hAnsi="Arial" w:cs="Arial"/>
                <w:b/>
                <w:color w:val="0070C0"/>
                <w:sz w:val="22"/>
                <w:szCs w:val="22"/>
              </w:rPr>
              <w:t>En ejecución</w:t>
            </w:r>
          </w:p>
        </w:tc>
      </w:tr>
      <w:tr w:rsidR="0050445B" w:rsidRPr="00963B64" w:rsidTr="00C44308">
        <w:trPr>
          <w:trHeight w:val="161"/>
        </w:trPr>
        <w:tc>
          <w:tcPr>
            <w:tcW w:w="28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F36C6E" w:rsidRDefault="0050445B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D47C10">
        <w:trPr>
          <w:trHeight w:val="259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F36C6E" w:rsidRDefault="00D47C10" w:rsidP="00D47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C6E">
              <w:rPr>
                <w:rFonts w:ascii="Arial" w:hAnsi="Arial" w:cs="Arial"/>
                <w:b/>
                <w:sz w:val="22"/>
                <w:szCs w:val="22"/>
              </w:rPr>
              <w:t xml:space="preserve">Lugar de Ejecución: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8642E4" w:rsidRDefault="008642E4" w:rsidP="00C44308">
            <w:pPr>
              <w:rPr>
                <w:rFonts w:ascii="Arial" w:hAnsi="Arial" w:cs="Arial"/>
                <w:sz w:val="22"/>
                <w:szCs w:val="22"/>
              </w:rPr>
            </w:pPr>
            <w:r w:rsidRPr="008642E4">
              <w:rPr>
                <w:rFonts w:ascii="Arial" w:hAnsi="Arial" w:cs="Arial"/>
                <w:color w:val="0070C0"/>
                <w:sz w:val="22"/>
                <w:szCs w:val="22"/>
              </w:rPr>
              <w:t xml:space="preserve">Municipio Monte Plata, Provincia Monte Plata, República Dominicana </w:t>
            </w:r>
          </w:p>
        </w:tc>
      </w:tr>
      <w:tr w:rsidR="0050445B" w:rsidRPr="00963B64" w:rsidTr="00B24632">
        <w:trPr>
          <w:trHeight w:val="412"/>
        </w:trPr>
        <w:tc>
          <w:tcPr>
            <w:tcW w:w="28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61A3" w:rsidRDefault="00E761A3" w:rsidP="00D47C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7C10" w:rsidRPr="00F36C6E" w:rsidRDefault="00933F58" w:rsidP="00D47C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Población Beneficiaria:</w:t>
            </w: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61A3" w:rsidRDefault="00E761A3" w:rsidP="00C4430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50445B" w:rsidRPr="00963B64" w:rsidRDefault="00933F58" w:rsidP="00C44308">
            <w:pPr>
              <w:rPr>
                <w:rFonts w:ascii="Arial" w:hAnsi="Arial" w:cs="Arial"/>
                <w:sz w:val="22"/>
                <w:szCs w:val="22"/>
              </w:rPr>
            </w:pPr>
            <w:r w:rsidRPr="00933F58">
              <w:rPr>
                <w:rFonts w:ascii="Arial" w:hAnsi="Arial" w:cs="Arial"/>
                <w:color w:val="0070C0"/>
                <w:sz w:val="22"/>
                <w:szCs w:val="22"/>
              </w:rPr>
              <w:t>20,065 personas</w:t>
            </w:r>
          </w:p>
        </w:tc>
      </w:tr>
      <w:tr w:rsidR="00D47C10" w:rsidRPr="00963B64" w:rsidTr="00C44308">
        <w:trPr>
          <w:trHeight w:val="161"/>
        </w:trPr>
        <w:tc>
          <w:tcPr>
            <w:tcW w:w="28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C10" w:rsidRPr="00F36C6E" w:rsidRDefault="00D47C10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C10" w:rsidRPr="00963B64" w:rsidRDefault="00D47C10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C44308">
        <w:trPr>
          <w:trHeight w:val="387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45B" w:rsidRPr="00F36C6E" w:rsidRDefault="00F33784" w:rsidP="00C443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6C6E">
              <w:rPr>
                <w:rFonts w:ascii="Arial" w:hAnsi="Arial" w:cs="Arial"/>
                <w:b/>
                <w:sz w:val="22"/>
                <w:szCs w:val="22"/>
              </w:rPr>
              <w:t>Monto del Financiamiento</w:t>
            </w:r>
            <w:r w:rsidR="0050445B" w:rsidRPr="00F36C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63766" w:rsidRDefault="00163766" w:rsidP="0016376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RD$ </w:t>
            </w:r>
            <w:r w:rsidRPr="00163766">
              <w:rPr>
                <w:rFonts w:ascii="Arial" w:hAnsi="Arial" w:cs="Arial"/>
                <w:color w:val="0070C0"/>
                <w:sz w:val="22"/>
                <w:szCs w:val="22"/>
              </w:rPr>
              <w:t>65,009,427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C44308">
        <w:trPr>
          <w:trHeight w:val="161"/>
        </w:trPr>
        <w:tc>
          <w:tcPr>
            <w:tcW w:w="2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B24632">
        <w:tc>
          <w:tcPr>
            <w:tcW w:w="280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  <w:r w:rsidRPr="00963B64">
              <w:rPr>
                <w:rFonts w:ascii="Arial" w:hAnsi="Arial" w:cs="Arial"/>
                <w:sz w:val="22"/>
                <w:szCs w:val="22"/>
              </w:rPr>
              <w:t>Breve descripción del proyecto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632" w:rsidRPr="00963B64" w:rsidRDefault="00E761A3" w:rsidP="00E761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1A3">
              <w:rPr>
                <w:rFonts w:ascii="Arial" w:hAnsi="Arial" w:cs="Arial"/>
                <w:color w:val="0070C0"/>
                <w:sz w:val="22"/>
                <w:szCs w:val="22"/>
              </w:rPr>
              <w:t>Considerando que los Programas de Alimentación Escolar (PAE), son una importante herramienta de intervención de protección social y de aplicación efectiva del derecho a la alimentación adecuada, el INABIE inició un proceso de articulación interinstitucional e intersectorial, para darle sostenibilidad al PAE. EL PAE Sostenible es el resultado del esfuerzo conjunto de la Dirección Ejecutiva y Técnicos del INABIE y el Proyecto FAO/Brasil, Fortalecimiento del Programa Nacional de Alimentación Escolar en el Ámbito de la Iniciativa América Latina y El Caribe Sin Hambre 2025 (Proyecto GCP/RLA/180/BRA).</w:t>
            </w:r>
          </w:p>
        </w:tc>
      </w:tr>
      <w:tr w:rsidR="0050445B" w:rsidRPr="00963B64" w:rsidTr="00C44308">
        <w:trPr>
          <w:trHeight w:val="70"/>
        </w:trPr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445B" w:rsidRPr="00963B64" w:rsidRDefault="0050445B" w:rsidP="00C443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445B" w:rsidRPr="00963B64" w:rsidRDefault="0050445B" w:rsidP="00C443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50445B" w:rsidRPr="00963B64" w:rsidRDefault="0050445B" w:rsidP="00C443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0445B" w:rsidRPr="00963B64" w:rsidTr="00B24632">
        <w:tc>
          <w:tcPr>
            <w:tcW w:w="2808" w:type="dxa"/>
            <w:shd w:val="clear" w:color="auto" w:fill="8DB3E2" w:themeFill="text2" w:themeFillTint="66"/>
            <w:vAlign w:val="center"/>
          </w:tcPr>
          <w:p w:rsidR="00B24632" w:rsidRDefault="00B24632" w:rsidP="00C44308">
            <w:pPr>
              <w:rPr>
                <w:rFonts w:ascii="Arial" w:hAnsi="Arial" w:cs="Arial"/>
                <w:sz w:val="22"/>
                <w:szCs w:val="22"/>
              </w:rPr>
            </w:pPr>
          </w:p>
          <w:p w:rsidR="00B24632" w:rsidRDefault="00B24632" w:rsidP="00B24632">
            <w:pPr>
              <w:shd w:val="clear" w:color="auto" w:fill="8DB3E2" w:themeFill="text2" w:themeFillTint="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Objetivo General </w:t>
            </w:r>
          </w:p>
          <w:p w:rsidR="00B24632" w:rsidRDefault="00B24632" w:rsidP="00B24632">
            <w:pPr>
              <w:shd w:val="clear" w:color="auto" w:fill="8DB3E2" w:themeFill="text2" w:themeFillTint="66"/>
              <w:rPr>
                <w:rFonts w:ascii="Arial" w:hAnsi="Arial" w:cs="Arial"/>
                <w:sz w:val="22"/>
                <w:szCs w:val="22"/>
              </w:rPr>
            </w:pPr>
          </w:p>
          <w:p w:rsidR="00B24632" w:rsidRPr="00963B64" w:rsidRDefault="00B24632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163766" w:rsidRPr="00E761A3" w:rsidRDefault="00163766" w:rsidP="00BB747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761A3">
              <w:rPr>
                <w:rFonts w:ascii="Arial" w:hAnsi="Arial" w:cs="Arial"/>
                <w:color w:val="0070C0"/>
                <w:sz w:val="22"/>
                <w:szCs w:val="22"/>
              </w:rPr>
              <w:t xml:space="preserve">Implementar en Monte Plata un Programa Piloto de mejoramiento de la alimentación escolar,  mediante un </w:t>
            </w:r>
            <w:r w:rsidR="00E761A3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E761A3">
              <w:rPr>
                <w:rFonts w:ascii="Arial" w:hAnsi="Arial" w:cs="Arial"/>
                <w:color w:val="0070C0"/>
                <w:sz w:val="22"/>
                <w:szCs w:val="22"/>
              </w:rPr>
              <w:t xml:space="preserve">odelo de gestión descentralizado, que responda al perfil nutricional de la localidad, con la </w:t>
            </w:r>
            <w:r w:rsidR="00E761A3" w:rsidRPr="00E761A3">
              <w:rPr>
                <w:rFonts w:ascii="Arial" w:hAnsi="Arial" w:cs="Arial"/>
                <w:color w:val="0070C0"/>
                <w:sz w:val="22"/>
                <w:szCs w:val="22"/>
              </w:rPr>
              <w:t>participación de la comunidad y Pymes y productores (as) de la agricultura familiar como suplidores de los alimentos que entrega el programa</w:t>
            </w:r>
          </w:p>
          <w:p w:rsidR="0050445B" w:rsidRPr="00963B64" w:rsidRDefault="0050445B" w:rsidP="001637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45B" w:rsidRPr="00963B64" w:rsidTr="00C44308">
        <w:trPr>
          <w:trHeight w:val="70"/>
        </w:trPr>
        <w:tc>
          <w:tcPr>
            <w:tcW w:w="28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445B" w:rsidRPr="00963B64" w:rsidRDefault="0050445B" w:rsidP="00C443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20" w:type="dxa"/>
            <w:tcBorders>
              <w:left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rPr>
                <w:rFonts w:ascii="Arial" w:hAnsi="Arial" w:cs="Arial"/>
                <w:sz w:val="8"/>
                <w:szCs w:val="8"/>
              </w:rPr>
            </w:pPr>
          </w:p>
          <w:p w:rsidR="0050445B" w:rsidRPr="00963B64" w:rsidRDefault="0050445B" w:rsidP="00C4430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0445B" w:rsidRPr="00963B64" w:rsidTr="00E540E3">
        <w:tc>
          <w:tcPr>
            <w:tcW w:w="280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0445B" w:rsidRPr="00963B64" w:rsidRDefault="00E540E3" w:rsidP="00C44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Objetivo Especifico 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 w:rsidRPr="00E761A3">
              <w:rPr>
                <w:rFonts w:ascii="Arial" w:hAnsi="Arial" w:cs="Arial"/>
                <w:i/>
                <w:color w:val="0070C0"/>
              </w:rPr>
              <w:t>Mejorar la eficiencia administrativa y logística el PAE en Monte Palta, mediante un modelo de gestión descentralizado;</w:t>
            </w:r>
          </w:p>
          <w:p w:rsid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 w:rsidRPr="00E761A3">
              <w:rPr>
                <w:rFonts w:ascii="Arial" w:hAnsi="Arial" w:cs="Arial"/>
                <w:i/>
                <w:color w:val="0070C0"/>
              </w:rPr>
              <w:t>Crear las redes de apoyo interinstitucional e incorporar la participación comunitaria en la cogestión del PAE</w:t>
            </w:r>
          </w:p>
          <w:p w:rsid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 w:rsidRPr="00E761A3">
              <w:rPr>
                <w:rFonts w:ascii="Arial" w:hAnsi="Arial" w:cs="Arial"/>
                <w:i/>
                <w:color w:val="0070C0"/>
              </w:rPr>
              <w:t>Mejorar el nivel nutricional de los estudiantes, investigando y educando a los estudiantes; definiendo la Política de Nutrición e implantando un Sistema de Vigilancia Nutricional</w:t>
            </w:r>
          </w:p>
          <w:p w:rsid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Crear sistema de contratación de suplidores locales del Programa conformados por la agricultura familiar y las Mipymes de la zona</w:t>
            </w:r>
          </w:p>
          <w:p w:rsid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Asegurar la calidad e inocuidad de los alimentos servidos a los estudiantes, desde las plantas y almacenes de los suplidores hasta la mesa;</w:t>
            </w:r>
          </w:p>
          <w:p w:rsid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>Crear o mejorar la infraestructura de cocina, comedor y abastecimientos de servicios básicos en  las escuelas que aseguren la elaboración y consumo de alimentos en un ambiente de inocuidad, higiene y seguridad</w:t>
            </w:r>
          </w:p>
          <w:p w:rsidR="00E540E3" w:rsidRPr="00E761A3" w:rsidRDefault="00E761A3" w:rsidP="0050445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</w:rPr>
              <w:t xml:space="preserve">Implementar los huertos escolares en cada centro con fines pedagógicos y de contacto con la naturaleza </w:t>
            </w:r>
            <w:r w:rsidRPr="00E761A3">
              <w:rPr>
                <w:rFonts w:ascii="Arial" w:hAnsi="Arial" w:cs="Arial"/>
                <w:i/>
                <w:color w:val="0070C0"/>
              </w:rPr>
              <w:t xml:space="preserve"> </w:t>
            </w:r>
          </w:p>
          <w:p w:rsidR="00E540E3" w:rsidRPr="00963B64" w:rsidRDefault="00E540E3" w:rsidP="0050445B">
            <w:pPr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50445B" w:rsidRPr="00963B64" w:rsidTr="00C44308"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445B" w:rsidRPr="00963B64" w:rsidRDefault="0050445B" w:rsidP="00C44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  <w:right w:val="nil"/>
            </w:tcBorders>
            <w:shd w:val="clear" w:color="auto" w:fill="auto"/>
          </w:tcPr>
          <w:p w:rsidR="0050445B" w:rsidRPr="00963B64" w:rsidRDefault="0050445B" w:rsidP="00C4430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445B" w:rsidRPr="00963B64" w:rsidTr="00E540E3">
        <w:tc>
          <w:tcPr>
            <w:tcW w:w="2808" w:type="dxa"/>
            <w:shd w:val="clear" w:color="auto" w:fill="8DB3E2" w:themeFill="text2" w:themeFillTint="66"/>
            <w:vAlign w:val="center"/>
          </w:tcPr>
          <w:p w:rsidR="0050445B" w:rsidRPr="00963B64" w:rsidRDefault="00E540E3" w:rsidP="00C443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 Esperados </w:t>
            </w:r>
            <w:r w:rsidR="009F267F">
              <w:rPr>
                <w:rFonts w:ascii="Arial" w:hAnsi="Arial" w:cs="Arial"/>
                <w:sz w:val="22"/>
                <w:szCs w:val="22"/>
              </w:rPr>
              <w:t xml:space="preserve">del proyecto </w:t>
            </w:r>
          </w:p>
        </w:tc>
        <w:tc>
          <w:tcPr>
            <w:tcW w:w="7020" w:type="dxa"/>
            <w:shd w:val="clear" w:color="auto" w:fill="auto"/>
          </w:tcPr>
          <w:p w:rsidR="0050445B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Establecido modelo de gestión descentralizada;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PAE Monte Plata funcionando con el apoyo de las organizaciones de la sociedad civil, instituciones públicas y privadas a través de un Comité de Coordinación Interinstitucional;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PAE Monte Plata funcionando con el apoyo de la comunidad educativa en cada centro educativo;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Modelo de Alimentación Escolar de calidad establecido acorde con las necesidades nutricionales de cada centro educativo;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Sistema de aseguramiento de la calidad e inocuidad de alimentos en toda la cadena alimenticia de los centros educativos operando;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Establecida la oferta de productos de las organizaciones de productores en Monte Plata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Implementado un plan piloto de productores locales sirviendo alimentos del PAE;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Estrategia de adecuación y mantenimiento de la infraestructura y equipamiento definida;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Asegurado el mantenimiento permanente de la infraestructura escolar por ´parte de la comunidad educativa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Se imparte educación Nutricional y Alimentaria en diferentes niveles y  grados escolares;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Cada centro0 educativo dispone de un huerto escolar con fines pedagógicos;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Definidos los indicadores e índices para monitoreo y medición del impacto del Proyectos;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  <w:r w:rsidRPr="001E44A7">
              <w:rPr>
                <w:rFonts w:ascii="Arial" w:hAnsi="Arial" w:cs="Arial"/>
                <w:color w:val="0070C0"/>
              </w:rPr>
              <w:t>El proyecto se monitorea y evalúa sistemáticamente usando las herramientas de la planificación diseñadas para tales fines;</w:t>
            </w:r>
          </w:p>
          <w:p w:rsidR="001E44A7" w:rsidRPr="001E44A7" w:rsidRDefault="001E44A7" w:rsidP="001E44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70C0"/>
              </w:rPr>
            </w:pPr>
          </w:p>
          <w:p w:rsidR="00E540E3" w:rsidRPr="001E44A7" w:rsidRDefault="00E540E3" w:rsidP="00E540E3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E540E3" w:rsidRPr="001E44A7" w:rsidRDefault="00E540E3" w:rsidP="00BB7477">
            <w:pPr>
              <w:ind w:left="151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</w:tbl>
    <w:p w:rsidR="00F36C6E" w:rsidRDefault="00F36C6E" w:rsidP="00C02F74">
      <w:pPr>
        <w:ind w:right="119"/>
        <w:jc w:val="both"/>
        <w:rPr>
          <w:rFonts w:ascii="Arial" w:hAnsi="Arial" w:cs="Arial"/>
          <w:sz w:val="18"/>
          <w:szCs w:val="18"/>
        </w:rPr>
      </w:pPr>
    </w:p>
    <w:sectPr w:rsidR="00F36C6E" w:rsidSect="00A85AB5">
      <w:headerReference w:type="default" r:id="rId7"/>
      <w:pgSz w:w="11906" w:h="16838"/>
      <w:pgMar w:top="1560" w:right="566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15" w:rsidRDefault="00502F15" w:rsidP="00CE414D">
      <w:r>
        <w:separator/>
      </w:r>
    </w:p>
  </w:endnote>
  <w:endnote w:type="continuationSeparator" w:id="0">
    <w:p w:rsidR="00502F15" w:rsidRDefault="00502F15" w:rsidP="00CE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15" w:rsidRDefault="00502F15" w:rsidP="00CE414D">
      <w:r>
        <w:separator/>
      </w:r>
    </w:p>
  </w:footnote>
  <w:footnote w:type="continuationSeparator" w:id="0">
    <w:p w:rsidR="00502F15" w:rsidRDefault="00502F15" w:rsidP="00CE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99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</w:p>
  <w:p w:rsidR="00D35499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  <w:r>
      <w:rPr>
        <w:noProof/>
      </w:rPr>
      <w:drawing>
        <wp:inline distT="0" distB="0" distL="0" distR="0" wp14:anchorId="66EDF8E6" wp14:editId="52727BC0">
          <wp:extent cx="1580421" cy="580929"/>
          <wp:effectExtent l="0" t="0" r="127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AB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42" cy="59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499" w:rsidRPr="007873B6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  <w:r w:rsidRPr="007873B6">
      <w:rPr>
        <w:rFonts w:ascii="Palatino Linotype" w:hAnsi="Palatino Linotype"/>
        <w:b/>
        <w:sz w:val="32"/>
        <w:szCs w:val="32"/>
      </w:rPr>
      <w:t xml:space="preserve">Instituto Nacional de Bienestar Estudiantil </w:t>
    </w:r>
  </w:p>
  <w:p w:rsidR="00D35499" w:rsidRPr="007873B6" w:rsidRDefault="00D35499" w:rsidP="00D35499">
    <w:pPr>
      <w:pStyle w:val="Header"/>
      <w:jc w:val="center"/>
      <w:rPr>
        <w:rFonts w:ascii="Palatino Linotype" w:hAnsi="Palatino Linotype"/>
        <w:b/>
        <w:sz w:val="32"/>
        <w:szCs w:val="32"/>
      </w:rPr>
    </w:pPr>
    <w:r w:rsidRPr="007873B6">
      <w:rPr>
        <w:rFonts w:ascii="Palatino Linotype" w:hAnsi="Palatino Linotype"/>
        <w:b/>
        <w:sz w:val="32"/>
        <w:szCs w:val="32"/>
      </w:rPr>
      <w:t>Dirección de Planificación y Desarrollo</w:t>
    </w:r>
  </w:p>
  <w:p w:rsidR="00D35499" w:rsidRPr="007873B6" w:rsidRDefault="00D35499" w:rsidP="00D35499">
    <w:pPr>
      <w:pStyle w:val="Header"/>
      <w:jc w:val="center"/>
      <w:rPr>
        <w:rFonts w:ascii="Palatino Linotype" w:hAnsi="Palatino Linotype"/>
        <w:b/>
      </w:rPr>
    </w:pPr>
    <w:r w:rsidRPr="007873B6">
      <w:rPr>
        <w:rFonts w:ascii="Palatino Linotype" w:hAnsi="Palatino Linotype"/>
        <w:b/>
      </w:rPr>
      <w:t>Departamento de Formulación, Monitoreo y Evaluación PPP</w:t>
    </w:r>
  </w:p>
  <w:p w:rsidR="00D35499" w:rsidRDefault="00D35499" w:rsidP="00D35499">
    <w:pPr>
      <w:jc w:val="center"/>
      <w:rPr>
        <w:rFonts w:ascii="Palatino Linotype" w:hAnsi="Palatino Linotype"/>
        <w:i/>
      </w:rPr>
    </w:pPr>
    <w:r w:rsidRPr="003C2A7D">
      <w:rPr>
        <w:rFonts w:ascii="Palatino Linotype" w:hAnsi="Palatino Linotype"/>
        <w:i/>
      </w:rPr>
      <w:t>“Año de</w:t>
    </w:r>
    <w:r>
      <w:rPr>
        <w:rFonts w:ascii="Palatino Linotype" w:hAnsi="Palatino Linotype"/>
        <w:i/>
      </w:rPr>
      <w:t>l Fomento a las Exportaciones</w:t>
    </w:r>
    <w:r w:rsidRPr="003C2A7D">
      <w:rPr>
        <w:rFonts w:ascii="Palatino Linotype" w:hAnsi="Palatino Linotype"/>
        <w:i/>
      </w:rPr>
      <w:t>”</w:t>
    </w:r>
  </w:p>
  <w:p w:rsidR="00D35499" w:rsidRDefault="00D35499" w:rsidP="00D35499">
    <w:pPr>
      <w:rPr>
        <w:color w:val="FF0000"/>
      </w:rPr>
    </w:pPr>
  </w:p>
  <w:p w:rsidR="00CE414D" w:rsidRDefault="00CE414D" w:rsidP="00CE41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39D"/>
    <w:multiLevelType w:val="hybridMultilevel"/>
    <w:tmpl w:val="F784252C"/>
    <w:lvl w:ilvl="0" w:tplc="B3C62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61A3"/>
    <w:multiLevelType w:val="hybridMultilevel"/>
    <w:tmpl w:val="060C6022"/>
    <w:lvl w:ilvl="0" w:tplc="B3C62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A073A"/>
    <w:multiLevelType w:val="hybridMultilevel"/>
    <w:tmpl w:val="E2A0C3DA"/>
    <w:lvl w:ilvl="0" w:tplc="B3C62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B2847"/>
    <w:multiLevelType w:val="hybridMultilevel"/>
    <w:tmpl w:val="9DC40504"/>
    <w:lvl w:ilvl="0" w:tplc="1E0AE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167D2"/>
    <w:multiLevelType w:val="hybridMultilevel"/>
    <w:tmpl w:val="7174E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B"/>
    <w:rsid w:val="00072731"/>
    <w:rsid w:val="000C6D22"/>
    <w:rsid w:val="00163766"/>
    <w:rsid w:val="00192540"/>
    <w:rsid w:val="001E44A7"/>
    <w:rsid w:val="00401EDF"/>
    <w:rsid w:val="00502F15"/>
    <w:rsid w:val="0050445B"/>
    <w:rsid w:val="00680177"/>
    <w:rsid w:val="008207B5"/>
    <w:rsid w:val="008642E4"/>
    <w:rsid w:val="00933F58"/>
    <w:rsid w:val="00943FBE"/>
    <w:rsid w:val="009C1F74"/>
    <w:rsid w:val="009F267F"/>
    <w:rsid w:val="00A85AB5"/>
    <w:rsid w:val="00B24632"/>
    <w:rsid w:val="00BB7477"/>
    <w:rsid w:val="00BE3782"/>
    <w:rsid w:val="00C02F74"/>
    <w:rsid w:val="00C801C9"/>
    <w:rsid w:val="00CE414D"/>
    <w:rsid w:val="00CF7E20"/>
    <w:rsid w:val="00D35499"/>
    <w:rsid w:val="00D47C10"/>
    <w:rsid w:val="00D61BAB"/>
    <w:rsid w:val="00E540E3"/>
    <w:rsid w:val="00E761A3"/>
    <w:rsid w:val="00E8600C"/>
    <w:rsid w:val="00EF2976"/>
    <w:rsid w:val="00F33784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F660-8577-4573-ADC8-5A2C782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5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1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CE414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4D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qFormat/>
    <w:rsid w:val="00BB747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F2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Burgos Barrantes Benito</dc:creator>
  <cp:lastModifiedBy>Benjamin Elias Tejeda Guerrero</cp:lastModifiedBy>
  <cp:revision>3</cp:revision>
  <dcterms:created xsi:type="dcterms:W3CDTF">2018-07-30T12:18:00Z</dcterms:created>
  <dcterms:modified xsi:type="dcterms:W3CDTF">2018-07-30T13:12:00Z</dcterms:modified>
</cp:coreProperties>
</file>