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90" w:rsidRPr="00D932F2" w:rsidRDefault="00D932F2" w:rsidP="00D932F2">
      <w:pPr>
        <w:jc w:val="both"/>
        <w:rPr>
          <w:color w:val="1F4E79" w:themeColor="accent1" w:themeShade="80"/>
          <w:sz w:val="36"/>
          <w:szCs w:val="36"/>
        </w:rPr>
      </w:pPr>
      <w:r w:rsidRPr="00D932F2">
        <w:rPr>
          <w:b/>
          <w:bCs/>
          <w:color w:val="1F4E79" w:themeColor="accent1" w:themeShade="80"/>
          <w:sz w:val="36"/>
          <w:szCs w:val="36"/>
          <w:lang w:val="es-ES"/>
        </w:rPr>
        <w:t>Nota:</w:t>
      </w:r>
      <w:r w:rsidRPr="00D932F2">
        <w:rPr>
          <w:color w:val="1F4E79" w:themeColor="accent1" w:themeShade="80"/>
          <w:sz w:val="36"/>
          <w:szCs w:val="36"/>
          <w:lang w:val="es-ES"/>
        </w:rPr>
        <w:t xml:space="preserve"> </w:t>
      </w:r>
      <w:r w:rsidR="00E064AA">
        <w:rPr>
          <w:color w:val="1F4E79" w:themeColor="accent1" w:themeShade="80"/>
          <w:sz w:val="36"/>
          <w:szCs w:val="36"/>
          <w:lang w:val="es-ES"/>
        </w:rPr>
        <w:t xml:space="preserve">En la institución el Balance General se trabaja trimestral, sin embargo en el transcurso del día las áreas financieras estarán entregando los meses correspondientes a Enero y Febrero 2017 actualizado al periodo de la evaluación. </w:t>
      </w:r>
      <w:bookmarkStart w:id="0" w:name="_GoBack"/>
      <w:bookmarkEnd w:id="0"/>
    </w:p>
    <w:sectPr w:rsidR="00BC7A90" w:rsidRPr="00D932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4E"/>
    <w:rsid w:val="0016554E"/>
    <w:rsid w:val="00BC7A90"/>
    <w:rsid w:val="00D932F2"/>
    <w:rsid w:val="00E0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85967-6DB3-49AE-A4EB-BCE9BC6E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Pablo Alberto Sosa Brito</cp:lastModifiedBy>
  <cp:revision>2</cp:revision>
  <dcterms:created xsi:type="dcterms:W3CDTF">2017-03-20T13:58:00Z</dcterms:created>
  <dcterms:modified xsi:type="dcterms:W3CDTF">2017-03-20T13:58:00Z</dcterms:modified>
</cp:coreProperties>
</file>