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EA5" w:rsidRPr="00140634" w:rsidRDefault="00757EA5" w:rsidP="00757EA5">
      <w:pPr>
        <w:autoSpaceDE w:val="0"/>
        <w:autoSpaceDN w:val="0"/>
        <w:spacing w:after="0" w:line="240" w:lineRule="auto"/>
        <w:jc w:val="center"/>
        <w:rPr>
          <w:rFonts w:ascii="Arial Narrow" w:eastAsia="Times New Roman" w:hAnsi="Arial Narrow" w:cs="Arial"/>
          <w:sz w:val="24"/>
          <w:szCs w:val="24"/>
          <w:lang w:eastAsia="es-ES"/>
        </w:rPr>
      </w:pPr>
    </w:p>
    <w:p w:rsidR="00757EA5" w:rsidRPr="00140634" w:rsidRDefault="00757EA5" w:rsidP="00757EA5">
      <w:pPr>
        <w:autoSpaceDE w:val="0"/>
        <w:autoSpaceDN w:val="0"/>
        <w:spacing w:after="0" w:line="240" w:lineRule="auto"/>
        <w:jc w:val="center"/>
        <w:rPr>
          <w:rFonts w:ascii="Arial Narrow" w:eastAsia="Times New Roman" w:hAnsi="Arial Narrow" w:cs="Arial"/>
          <w:sz w:val="24"/>
          <w:szCs w:val="24"/>
          <w:lang w:eastAsia="es-ES"/>
        </w:rPr>
      </w:pPr>
    </w:p>
    <w:p w:rsidR="00757EA5" w:rsidRPr="00140634" w:rsidRDefault="00757EA5" w:rsidP="00757EA5">
      <w:pPr>
        <w:autoSpaceDE w:val="0"/>
        <w:autoSpaceDN w:val="0"/>
        <w:spacing w:after="0" w:line="240" w:lineRule="auto"/>
        <w:jc w:val="center"/>
        <w:rPr>
          <w:rFonts w:ascii="Arial Narrow" w:eastAsia="Times New Roman" w:hAnsi="Arial Narrow" w:cs="Arial"/>
          <w:sz w:val="24"/>
          <w:szCs w:val="24"/>
          <w:lang w:eastAsia="es-ES"/>
        </w:rPr>
      </w:pPr>
    </w:p>
    <w:p w:rsidR="00757EA5" w:rsidRPr="00140634" w:rsidRDefault="00757EA5" w:rsidP="00757EA5">
      <w:pPr>
        <w:autoSpaceDE w:val="0"/>
        <w:autoSpaceDN w:val="0"/>
        <w:spacing w:after="0" w:line="240" w:lineRule="auto"/>
        <w:jc w:val="center"/>
        <w:rPr>
          <w:rFonts w:ascii="Arial Narrow" w:eastAsia="Times New Roman" w:hAnsi="Arial Narrow" w:cs="Arial"/>
          <w:sz w:val="24"/>
          <w:szCs w:val="24"/>
          <w:lang w:eastAsia="es-ES"/>
        </w:rPr>
      </w:pPr>
    </w:p>
    <w:p w:rsidR="00757EA5" w:rsidRPr="00140634" w:rsidRDefault="00757EA5" w:rsidP="00757EA5">
      <w:pPr>
        <w:autoSpaceDE w:val="0"/>
        <w:autoSpaceDN w:val="0"/>
        <w:spacing w:after="0" w:line="240" w:lineRule="auto"/>
        <w:jc w:val="center"/>
        <w:rPr>
          <w:rFonts w:ascii="Arial Narrow" w:eastAsia="Times New Roman" w:hAnsi="Arial Narrow" w:cs="Arial"/>
          <w:sz w:val="24"/>
          <w:szCs w:val="24"/>
          <w:lang w:eastAsia="es-ES"/>
        </w:rPr>
      </w:pPr>
    </w:p>
    <w:p w:rsidR="00757EA5" w:rsidRPr="00140634" w:rsidRDefault="00757EA5" w:rsidP="00757EA5">
      <w:pPr>
        <w:autoSpaceDE w:val="0"/>
        <w:autoSpaceDN w:val="0"/>
        <w:spacing w:after="0" w:line="240" w:lineRule="auto"/>
        <w:jc w:val="center"/>
        <w:rPr>
          <w:rFonts w:ascii="Arial Narrow" w:eastAsia="Times New Roman" w:hAnsi="Arial Narrow" w:cs="Arial"/>
          <w:sz w:val="24"/>
          <w:szCs w:val="24"/>
          <w:lang w:eastAsia="es-ES"/>
        </w:rPr>
      </w:pPr>
      <w:r w:rsidRPr="00140634">
        <w:rPr>
          <w:rFonts w:ascii="Arial Narrow" w:eastAsia="Times New Roman" w:hAnsi="Arial Narrow" w:cs="Arial"/>
          <w:noProof/>
          <w:sz w:val="24"/>
          <w:szCs w:val="24"/>
          <w:lang w:eastAsia="es-DO"/>
        </w:rPr>
        <w:drawing>
          <wp:anchor distT="0" distB="0" distL="114300" distR="114300" simplePos="0" relativeHeight="251659264" behindDoc="0" locked="0" layoutInCell="1" allowOverlap="1" wp14:anchorId="47F77CAC" wp14:editId="7C76AF64">
            <wp:simplePos x="3343275" y="1600200"/>
            <wp:positionH relativeFrom="margin">
              <wp:align>center</wp:align>
            </wp:positionH>
            <wp:positionV relativeFrom="margin">
              <wp:align>top</wp:align>
            </wp:positionV>
            <wp:extent cx="1080000" cy="1076400"/>
            <wp:effectExtent l="0" t="0" r="6350" b="0"/>
            <wp:wrapSquare wrapText="bothSides"/>
            <wp:docPr id="1" name="Imagen 1"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076400"/>
                    </a:xfrm>
                    <a:prstGeom prst="rect">
                      <a:avLst/>
                    </a:prstGeom>
                    <a:noFill/>
                    <a:ln>
                      <a:noFill/>
                    </a:ln>
                  </pic:spPr>
                </pic:pic>
              </a:graphicData>
            </a:graphic>
          </wp:anchor>
        </w:drawing>
      </w:r>
    </w:p>
    <w:p w:rsidR="00757EA5" w:rsidRPr="00140634" w:rsidRDefault="00757EA5" w:rsidP="00757EA5">
      <w:pPr>
        <w:autoSpaceDE w:val="0"/>
        <w:autoSpaceDN w:val="0"/>
        <w:spacing w:after="0" w:line="240" w:lineRule="auto"/>
        <w:jc w:val="center"/>
        <w:rPr>
          <w:rFonts w:ascii="Arial Narrow" w:eastAsia="Times New Roman" w:hAnsi="Arial Narrow" w:cs="Arial"/>
          <w:sz w:val="24"/>
          <w:szCs w:val="24"/>
          <w:lang w:eastAsia="es-ES"/>
        </w:rPr>
      </w:pPr>
    </w:p>
    <w:p w:rsidR="00757EA5" w:rsidRPr="00140634" w:rsidRDefault="00757EA5" w:rsidP="00757EA5">
      <w:pPr>
        <w:autoSpaceDE w:val="0"/>
        <w:autoSpaceDN w:val="0"/>
        <w:spacing w:after="0" w:line="240" w:lineRule="auto"/>
        <w:jc w:val="center"/>
        <w:rPr>
          <w:rFonts w:ascii="Arial Narrow" w:eastAsia="Times New Roman" w:hAnsi="Arial Narrow" w:cs="Arial"/>
          <w:sz w:val="24"/>
          <w:szCs w:val="24"/>
          <w:lang w:eastAsia="es-ES"/>
        </w:rPr>
      </w:pPr>
    </w:p>
    <w:p w:rsidR="00757EA5" w:rsidRPr="00140634" w:rsidRDefault="00757EA5" w:rsidP="00757EA5">
      <w:pPr>
        <w:autoSpaceDE w:val="0"/>
        <w:autoSpaceDN w:val="0"/>
        <w:spacing w:after="0" w:line="240" w:lineRule="auto"/>
        <w:ind w:right="6"/>
        <w:jc w:val="center"/>
        <w:rPr>
          <w:rFonts w:ascii="Arial Narrow" w:eastAsia="Times New Roman" w:hAnsi="Arial Narrow" w:cs="Arial"/>
          <w:b/>
          <w:sz w:val="28"/>
          <w:szCs w:val="24"/>
          <w:lang w:eastAsia="es-ES"/>
        </w:rPr>
      </w:pPr>
      <w:r w:rsidRPr="00140634">
        <w:rPr>
          <w:rFonts w:ascii="Arial Narrow" w:eastAsia="Times New Roman" w:hAnsi="Arial Narrow" w:cs="Arial"/>
          <w:b/>
          <w:sz w:val="28"/>
          <w:szCs w:val="24"/>
          <w:lang w:eastAsia="es-ES"/>
        </w:rPr>
        <w:t>REPÚBLICA DOMINICANA</w:t>
      </w:r>
    </w:p>
    <w:p w:rsidR="00757EA5" w:rsidRPr="00140634" w:rsidRDefault="00757EA5" w:rsidP="00757EA5">
      <w:pPr>
        <w:autoSpaceDE w:val="0"/>
        <w:autoSpaceDN w:val="0"/>
        <w:spacing w:after="0" w:line="240" w:lineRule="auto"/>
        <w:jc w:val="center"/>
        <w:rPr>
          <w:rFonts w:ascii="Arial Narrow" w:eastAsia="Times New Roman" w:hAnsi="Arial Narrow" w:cs="Arial"/>
          <w:sz w:val="28"/>
          <w:szCs w:val="24"/>
          <w:lang w:eastAsia="es-ES"/>
        </w:rPr>
      </w:pPr>
      <w:r w:rsidRPr="00140634">
        <w:rPr>
          <w:rFonts w:ascii="Arial Narrow" w:eastAsia="Times New Roman" w:hAnsi="Arial Narrow" w:cs="Arial"/>
          <w:noProof/>
          <w:sz w:val="24"/>
          <w:szCs w:val="24"/>
          <w:lang w:eastAsia="es-DO"/>
        </w:rPr>
        <w:drawing>
          <wp:inline distT="0" distB="0" distL="0" distR="0" wp14:anchorId="70339885" wp14:editId="066F16A3">
            <wp:extent cx="3084195" cy="1247640"/>
            <wp:effectExtent l="0" t="0" r="1905" b="0"/>
            <wp:docPr id="2"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8" cstate="print"/>
                    <a:srcRect/>
                    <a:stretch>
                      <a:fillRect/>
                    </a:stretch>
                  </pic:blipFill>
                  <pic:spPr bwMode="auto">
                    <a:xfrm>
                      <a:off x="0" y="0"/>
                      <a:ext cx="3098412" cy="1253391"/>
                    </a:xfrm>
                    <a:prstGeom prst="rect">
                      <a:avLst/>
                    </a:prstGeom>
                    <a:noFill/>
                    <a:ln w="9525">
                      <a:noFill/>
                      <a:miter lim="800000"/>
                      <a:headEnd/>
                      <a:tailEnd/>
                    </a:ln>
                  </pic:spPr>
                </pic:pic>
              </a:graphicData>
            </a:graphic>
          </wp:inline>
        </w:drawing>
      </w:r>
    </w:p>
    <w:p w:rsidR="00757EA5" w:rsidRPr="00140634" w:rsidRDefault="00757EA5" w:rsidP="00757EA5">
      <w:pPr>
        <w:autoSpaceDE w:val="0"/>
        <w:autoSpaceDN w:val="0"/>
        <w:spacing w:after="0" w:line="240" w:lineRule="auto"/>
        <w:jc w:val="center"/>
        <w:rPr>
          <w:rFonts w:ascii="Arial Narrow" w:eastAsia="Times New Roman" w:hAnsi="Arial Narrow" w:cs="Arial"/>
          <w:b/>
          <w:bCs/>
          <w:sz w:val="24"/>
          <w:szCs w:val="24"/>
          <w:lang w:eastAsia="es-ES"/>
        </w:rPr>
      </w:pPr>
      <w:r w:rsidRPr="00140634">
        <w:rPr>
          <w:rFonts w:ascii="Arial Narrow" w:eastAsia="Times New Roman" w:hAnsi="Arial Narrow" w:cs="Arial"/>
          <w:b/>
          <w:bCs/>
          <w:sz w:val="24"/>
          <w:szCs w:val="24"/>
          <w:lang w:eastAsia="es-ES"/>
        </w:rPr>
        <w:t>“Año de la Innovación y la competitividad”</w:t>
      </w:r>
    </w:p>
    <w:p w:rsidR="00757EA5" w:rsidRPr="00140634" w:rsidRDefault="00757EA5" w:rsidP="00757EA5">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rsidR="00757EA5" w:rsidRPr="00140634" w:rsidRDefault="00757EA5" w:rsidP="00757EA5">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rsidR="00757EA5" w:rsidRPr="00140634" w:rsidRDefault="00757EA5" w:rsidP="00757EA5">
      <w:pPr>
        <w:autoSpaceDE w:val="0"/>
        <w:autoSpaceDN w:val="0"/>
        <w:spacing w:after="0" w:line="240" w:lineRule="auto"/>
        <w:jc w:val="center"/>
        <w:rPr>
          <w:rFonts w:ascii="Arial Narrow" w:eastAsia="Times New Roman" w:hAnsi="Arial Narrow" w:cs="Arial"/>
          <w:b/>
          <w:bCs/>
          <w:sz w:val="32"/>
          <w:szCs w:val="32"/>
          <w:lang w:eastAsia="es-ES"/>
        </w:rPr>
      </w:pPr>
      <w:r w:rsidRPr="00140634">
        <w:rPr>
          <w:rFonts w:ascii="Arial Narrow" w:eastAsia="Times New Roman" w:hAnsi="Arial Narrow" w:cs="Arial"/>
          <w:b/>
          <w:bCs/>
          <w:sz w:val="32"/>
          <w:szCs w:val="32"/>
          <w:lang w:eastAsia="es-ES"/>
        </w:rPr>
        <w:t>Licitación Pública Nacional</w:t>
      </w:r>
    </w:p>
    <w:p w:rsidR="00757EA5" w:rsidRPr="00140634" w:rsidRDefault="00757EA5" w:rsidP="00757EA5">
      <w:pPr>
        <w:autoSpaceDE w:val="0"/>
        <w:autoSpaceDN w:val="0"/>
        <w:spacing w:after="0" w:line="240" w:lineRule="auto"/>
        <w:jc w:val="center"/>
        <w:rPr>
          <w:rFonts w:ascii="Arial Narrow" w:eastAsia="Times New Roman" w:hAnsi="Arial Narrow" w:cs="Arial"/>
          <w:b/>
          <w:bCs/>
          <w:sz w:val="24"/>
          <w:szCs w:val="24"/>
          <w:lang w:eastAsia="es-ES"/>
        </w:rPr>
      </w:pPr>
      <w:r w:rsidRPr="000566A4">
        <w:rPr>
          <w:rFonts w:ascii="Arial Narrow" w:eastAsia="Times New Roman" w:hAnsi="Arial Narrow" w:cs="Arial"/>
          <w:b/>
          <w:bCs/>
          <w:lang w:eastAsia="es-ES"/>
        </w:rPr>
        <w:t>INABIE-CCC-LPN-2019-</w:t>
      </w:r>
      <w:r w:rsidR="00B273D5">
        <w:rPr>
          <w:rFonts w:ascii="Arial Narrow" w:eastAsia="Times New Roman" w:hAnsi="Arial Narrow" w:cs="Arial"/>
          <w:b/>
          <w:bCs/>
          <w:lang w:eastAsia="es-ES"/>
        </w:rPr>
        <w:t>0029</w:t>
      </w:r>
    </w:p>
    <w:p w:rsidR="00757EA5" w:rsidRPr="00140634" w:rsidRDefault="00757EA5" w:rsidP="00757EA5">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rsidR="00757EA5" w:rsidRPr="00140634" w:rsidRDefault="00757EA5" w:rsidP="00757EA5">
      <w:pPr>
        <w:autoSpaceDE w:val="0"/>
        <w:autoSpaceDN w:val="0"/>
        <w:spacing w:after="0" w:line="240" w:lineRule="auto"/>
        <w:rPr>
          <w:rFonts w:ascii="Arial Narrow" w:eastAsia="Times New Roman" w:hAnsi="Arial Narrow" w:cs="Arial"/>
          <w:b/>
          <w:bCs/>
          <w:color w:val="000000"/>
          <w:sz w:val="32"/>
          <w:szCs w:val="32"/>
          <w:lang w:eastAsia="es-ES"/>
        </w:rPr>
      </w:pPr>
    </w:p>
    <w:p w:rsidR="00757EA5" w:rsidRDefault="00757EA5" w:rsidP="00757EA5"/>
    <w:p w:rsidR="00757EA5" w:rsidRDefault="00757EA5" w:rsidP="00757EA5">
      <w:pPr>
        <w:jc w:val="center"/>
        <w:rPr>
          <w:rFonts w:ascii="Arial Narrow" w:eastAsia="Times New Roman" w:hAnsi="Arial Narrow" w:cs="Arial"/>
          <w:b/>
          <w:sz w:val="28"/>
          <w:szCs w:val="28"/>
          <w:lang w:eastAsia="es-ES"/>
        </w:rPr>
      </w:pPr>
      <w:r w:rsidRPr="00140634">
        <w:rPr>
          <w:rFonts w:ascii="Arial Narrow" w:eastAsia="Times New Roman" w:hAnsi="Arial Narrow" w:cs="Arial"/>
          <w:b/>
          <w:sz w:val="28"/>
          <w:szCs w:val="28"/>
          <w:lang w:eastAsia="es-ES"/>
        </w:rPr>
        <w:t>ENMIENDA I</w:t>
      </w:r>
    </w:p>
    <w:p w:rsidR="00757EA5" w:rsidRDefault="00757EA5" w:rsidP="00757EA5">
      <w:pPr>
        <w:jc w:val="center"/>
        <w:rPr>
          <w:rFonts w:ascii="Arial Narrow" w:eastAsia="Times New Roman" w:hAnsi="Arial Narrow" w:cs="Arial"/>
          <w:b/>
          <w:sz w:val="28"/>
          <w:szCs w:val="28"/>
          <w:lang w:eastAsia="es-ES"/>
        </w:rPr>
      </w:pPr>
    </w:p>
    <w:p w:rsidR="00757EA5" w:rsidRDefault="00757EA5" w:rsidP="00757EA5">
      <w:pPr>
        <w:jc w:val="center"/>
        <w:rPr>
          <w:rFonts w:ascii="Arial Narrow" w:eastAsia="Times New Roman" w:hAnsi="Arial Narrow" w:cs="Arial"/>
          <w:b/>
          <w:sz w:val="28"/>
          <w:szCs w:val="28"/>
          <w:lang w:eastAsia="es-ES"/>
        </w:rPr>
      </w:pPr>
    </w:p>
    <w:p w:rsidR="00757EA5" w:rsidRPr="00140634" w:rsidRDefault="00757EA5" w:rsidP="00757EA5">
      <w:pPr>
        <w:autoSpaceDE w:val="0"/>
        <w:autoSpaceDN w:val="0"/>
        <w:spacing w:after="0" w:line="240" w:lineRule="auto"/>
        <w:jc w:val="center"/>
        <w:rPr>
          <w:rFonts w:ascii="Arial Narrow" w:eastAsia="Times New Roman" w:hAnsi="Arial Narrow" w:cs="Arial"/>
          <w:b/>
          <w:bCs/>
          <w:color w:val="000000"/>
          <w:sz w:val="28"/>
          <w:szCs w:val="24"/>
          <w:lang w:eastAsia="es-ES"/>
        </w:rPr>
      </w:pPr>
      <w:r w:rsidRPr="00140634">
        <w:rPr>
          <w:rFonts w:ascii="Arial Narrow" w:eastAsia="Times New Roman" w:hAnsi="Arial Narrow" w:cs="Arial"/>
          <w:b/>
          <w:bCs/>
          <w:color w:val="000000"/>
          <w:sz w:val="28"/>
          <w:szCs w:val="28"/>
          <w:lang w:eastAsia="es-ES"/>
        </w:rPr>
        <w:t>PLIEGO DE CONDICIONES ESPECÍFICAS PARA</w:t>
      </w:r>
    </w:p>
    <w:p w:rsidR="00757EA5" w:rsidRPr="00140634" w:rsidRDefault="00757EA5" w:rsidP="00757EA5">
      <w:pPr>
        <w:autoSpaceDE w:val="0"/>
        <w:autoSpaceDN w:val="0"/>
        <w:spacing w:after="0" w:line="240" w:lineRule="auto"/>
        <w:rPr>
          <w:rFonts w:ascii="Arial Narrow" w:eastAsia="Times New Roman" w:hAnsi="Arial Narrow" w:cs="Arial"/>
          <w:b/>
          <w:bCs/>
          <w:color w:val="000000"/>
          <w:sz w:val="28"/>
          <w:szCs w:val="24"/>
          <w:lang w:eastAsia="es-ES"/>
        </w:rPr>
      </w:pPr>
    </w:p>
    <w:p w:rsidR="00757EA5" w:rsidRPr="00BB5248" w:rsidRDefault="00B273D5" w:rsidP="00BB5248">
      <w:pPr>
        <w:autoSpaceDE w:val="0"/>
        <w:autoSpaceDN w:val="0"/>
        <w:spacing w:after="0" w:line="240" w:lineRule="auto"/>
        <w:jc w:val="both"/>
        <w:rPr>
          <w:rFonts w:eastAsia="Times New Roman" w:cstheme="minorHAnsi"/>
          <w:b/>
          <w:bCs/>
          <w:sz w:val="24"/>
          <w:szCs w:val="24"/>
          <w:lang w:eastAsia="es-ES"/>
        </w:rPr>
      </w:pPr>
      <w:r w:rsidRPr="00BB5248">
        <w:rPr>
          <w:rFonts w:eastAsia="Times New Roman" w:cstheme="minorHAnsi"/>
          <w:b/>
          <w:bCs/>
          <w:sz w:val="24"/>
          <w:szCs w:val="24"/>
          <w:lang w:eastAsia="es-ES"/>
        </w:rPr>
        <w:t>Confección de Zapatos Escolares para el año escolar 2020-2021; llevada a cabo por el Instituto Nacional de Bienestar Estudiantil, Ministerio de Educación; para Empresas Generales, nacionales, no adheridas al Régimen de Zonas Francas (Referencia: INABIE-CCC-LPN-2019-0029)</w:t>
      </w:r>
      <w:r w:rsidR="00757EA5" w:rsidRPr="00BB5248">
        <w:rPr>
          <w:rFonts w:eastAsia="Times New Roman" w:cstheme="minorHAnsi"/>
          <w:b/>
          <w:bCs/>
          <w:sz w:val="24"/>
          <w:szCs w:val="24"/>
          <w:lang w:eastAsia="es-ES"/>
        </w:rPr>
        <w:t>.</w:t>
      </w:r>
    </w:p>
    <w:p w:rsidR="00757EA5" w:rsidRPr="00BB5248" w:rsidRDefault="00757EA5" w:rsidP="00BB5248">
      <w:pPr>
        <w:jc w:val="both"/>
        <w:rPr>
          <w:rFonts w:eastAsia="Times New Roman" w:cstheme="minorHAnsi"/>
          <w:b/>
          <w:sz w:val="24"/>
          <w:szCs w:val="24"/>
          <w:lang w:eastAsia="es-ES"/>
        </w:rPr>
      </w:pPr>
    </w:p>
    <w:p w:rsidR="00757EA5" w:rsidRPr="00BB5248" w:rsidRDefault="00757EA5" w:rsidP="00BB5248">
      <w:pPr>
        <w:jc w:val="both"/>
        <w:rPr>
          <w:rFonts w:eastAsia="Times New Roman" w:cstheme="minorHAnsi"/>
          <w:b/>
          <w:sz w:val="24"/>
          <w:szCs w:val="24"/>
          <w:lang w:eastAsia="es-ES"/>
        </w:rPr>
      </w:pPr>
      <w:r w:rsidRPr="00BB5248">
        <w:rPr>
          <w:rFonts w:eastAsia="Times New Roman" w:cstheme="minorHAnsi"/>
          <w:b/>
          <w:sz w:val="24"/>
          <w:szCs w:val="24"/>
          <w:lang w:eastAsia="es-ES"/>
        </w:rPr>
        <w:t xml:space="preserve">A: </w:t>
      </w:r>
      <w:r w:rsidRPr="00BB5248">
        <w:rPr>
          <w:rFonts w:eastAsia="Times New Roman" w:cstheme="minorHAnsi"/>
          <w:sz w:val="24"/>
          <w:szCs w:val="24"/>
          <w:lang w:eastAsia="es-ES"/>
        </w:rPr>
        <w:t>Todos los oferentes interesados en el procedimiento</w:t>
      </w:r>
      <w:r w:rsidRPr="00BB5248">
        <w:rPr>
          <w:rFonts w:eastAsia="Times New Roman" w:cstheme="minorHAnsi"/>
          <w:b/>
          <w:sz w:val="24"/>
          <w:szCs w:val="24"/>
          <w:lang w:eastAsia="es-ES"/>
        </w:rPr>
        <w:t xml:space="preserve"> Referencia: </w:t>
      </w:r>
      <w:r w:rsidRPr="00BB5248">
        <w:rPr>
          <w:rFonts w:eastAsia="Times New Roman" w:cstheme="minorHAnsi"/>
          <w:b/>
          <w:bCs/>
          <w:sz w:val="24"/>
          <w:szCs w:val="24"/>
          <w:lang w:eastAsia="es-ES"/>
        </w:rPr>
        <w:t>INABIE-CCC-LPN-2019-0029</w:t>
      </w:r>
      <w:r w:rsidRPr="00BB5248">
        <w:rPr>
          <w:rFonts w:eastAsia="Times New Roman" w:cstheme="minorHAnsi"/>
          <w:b/>
          <w:sz w:val="24"/>
          <w:szCs w:val="24"/>
          <w:lang w:eastAsia="es-ES"/>
        </w:rPr>
        <w:t>.</w:t>
      </w:r>
    </w:p>
    <w:p w:rsidR="00757EA5" w:rsidRPr="00BB5248" w:rsidRDefault="00757EA5" w:rsidP="00BB5248">
      <w:pPr>
        <w:pStyle w:val="NormalWeb"/>
        <w:jc w:val="both"/>
        <w:rPr>
          <w:rFonts w:asciiTheme="minorHAnsi" w:hAnsiTheme="minorHAnsi" w:cstheme="minorHAnsi"/>
          <w:color w:val="000000"/>
        </w:rPr>
      </w:pPr>
      <w:r w:rsidRPr="00BB5248">
        <w:rPr>
          <w:rFonts w:asciiTheme="minorHAnsi" w:hAnsiTheme="minorHAnsi" w:cstheme="minorHAnsi"/>
          <w:color w:val="000000"/>
        </w:rPr>
        <w:t xml:space="preserve">De: </w:t>
      </w:r>
      <w:r w:rsidRPr="00BB5248">
        <w:rPr>
          <w:rFonts w:asciiTheme="minorHAnsi" w:hAnsiTheme="minorHAnsi" w:cstheme="minorHAnsi"/>
          <w:b/>
          <w:color w:val="000000"/>
        </w:rPr>
        <w:t>El Comité de Compras y Contrataciones del INABIE</w:t>
      </w:r>
      <w:r w:rsidRPr="00BB5248">
        <w:rPr>
          <w:rFonts w:asciiTheme="minorHAnsi" w:hAnsiTheme="minorHAnsi" w:cstheme="minorHAnsi"/>
          <w:color w:val="000000"/>
        </w:rPr>
        <w:t>.</w:t>
      </w:r>
    </w:p>
    <w:p w:rsidR="00222AD1" w:rsidRPr="00BB5248" w:rsidRDefault="00CD0CFD" w:rsidP="00BB5248">
      <w:pPr>
        <w:pStyle w:val="NormalWeb"/>
        <w:jc w:val="both"/>
        <w:rPr>
          <w:rFonts w:asciiTheme="minorHAnsi" w:hAnsiTheme="minorHAnsi" w:cstheme="minorHAnsi"/>
          <w:color w:val="000000"/>
        </w:rPr>
      </w:pPr>
      <w:r w:rsidRPr="006000F9">
        <w:rPr>
          <w:rFonts w:asciiTheme="minorHAnsi" w:hAnsiTheme="minorHAnsi" w:cstheme="minorHAnsi"/>
          <w:color w:val="000000"/>
        </w:rPr>
        <w:t xml:space="preserve">El Comité de Compras y Contrataciones del INABIE, les informa mediante esta </w:t>
      </w:r>
      <w:r w:rsidR="00E00705">
        <w:rPr>
          <w:rFonts w:asciiTheme="minorHAnsi" w:hAnsiTheme="minorHAnsi" w:cstheme="minorHAnsi"/>
          <w:color w:val="000000"/>
        </w:rPr>
        <w:t xml:space="preserve">primera </w:t>
      </w:r>
      <w:r w:rsidRPr="006000F9">
        <w:rPr>
          <w:rFonts w:asciiTheme="minorHAnsi" w:hAnsiTheme="minorHAnsi" w:cstheme="minorHAnsi"/>
          <w:color w:val="000000"/>
        </w:rPr>
        <w:t xml:space="preserve">Enmienda </w:t>
      </w:r>
      <w:r w:rsidRPr="006000F9">
        <w:rPr>
          <w:rFonts w:asciiTheme="minorHAnsi" w:hAnsiTheme="minorHAnsi" w:cstheme="minorHAnsi"/>
          <w:b/>
          <w:color w:val="000000"/>
        </w:rPr>
        <w:t>I</w:t>
      </w:r>
      <w:r w:rsidRPr="006000F9">
        <w:rPr>
          <w:rFonts w:asciiTheme="minorHAnsi" w:hAnsiTheme="minorHAnsi" w:cstheme="minorHAnsi"/>
          <w:color w:val="000000"/>
        </w:rPr>
        <w:t xml:space="preserve">, las </w:t>
      </w:r>
      <w:r>
        <w:rPr>
          <w:rFonts w:asciiTheme="minorHAnsi" w:hAnsiTheme="minorHAnsi" w:cstheme="minorHAnsi"/>
          <w:color w:val="000000"/>
        </w:rPr>
        <w:t xml:space="preserve">adiciones, supresiones y </w:t>
      </w:r>
      <w:r w:rsidRPr="006000F9">
        <w:rPr>
          <w:rFonts w:asciiTheme="minorHAnsi" w:hAnsiTheme="minorHAnsi" w:cstheme="minorHAnsi"/>
          <w:b/>
          <w:color w:val="000000"/>
        </w:rPr>
        <w:t>modificaciones (</w:t>
      </w:r>
      <w:r>
        <w:rPr>
          <w:rFonts w:asciiTheme="minorHAnsi" w:hAnsiTheme="minorHAnsi" w:cstheme="minorHAnsi"/>
          <w:b/>
          <w:color w:val="000000"/>
        </w:rPr>
        <w:t>SOMBREADAS EN AMARILLO</w:t>
      </w:r>
      <w:r w:rsidRPr="006000F9">
        <w:rPr>
          <w:rFonts w:asciiTheme="minorHAnsi" w:hAnsiTheme="minorHAnsi" w:cstheme="minorHAnsi"/>
          <w:b/>
          <w:color w:val="000000"/>
        </w:rPr>
        <w:t>)</w:t>
      </w:r>
      <w:r w:rsidRPr="006000F9">
        <w:rPr>
          <w:rFonts w:asciiTheme="minorHAnsi" w:hAnsiTheme="minorHAnsi" w:cstheme="minorHAnsi"/>
          <w:color w:val="000000"/>
        </w:rPr>
        <w:t xml:space="preserve"> en los siguientes numerales del pliego de condiciones específicas:</w:t>
      </w:r>
    </w:p>
    <w:p w:rsidR="00CD0CFD" w:rsidRDefault="00CD0CFD" w:rsidP="00CD0CFD">
      <w:pPr>
        <w:pStyle w:val="ListParagraph"/>
        <w:numPr>
          <w:ilvl w:val="0"/>
          <w:numId w:val="2"/>
        </w:numPr>
        <w:ind w:left="0" w:firstLine="0"/>
        <w:jc w:val="both"/>
        <w:rPr>
          <w:rFonts w:eastAsia="Times New Roman" w:cstheme="minorHAnsi"/>
          <w:color w:val="000000"/>
          <w:sz w:val="24"/>
          <w:szCs w:val="24"/>
          <w:lang w:eastAsia="es-DO"/>
        </w:rPr>
      </w:pPr>
      <w:r w:rsidRPr="001A17A6">
        <w:rPr>
          <w:rFonts w:eastAsia="Times New Roman" w:cstheme="minorHAnsi"/>
          <w:b/>
          <w:sz w:val="24"/>
          <w:szCs w:val="24"/>
          <w:lang w:eastAsia="es-ES"/>
        </w:rPr>
        <w:lastRenderedPageBreak/>
        <w:t>Se modifica:</w:t>
      </w:r>
      <w:r w:rsidRPr="001A17A6">
        <w:rPr>
          <w:rFonts w:eastAsia="Times New Roman" w:cstheme="minorHAnsi"/>
          <w:color w:val="000000"/>
          <w:sz w:val="24"/>
          <w:szCs w:val="24"/>
          <w:lang w:eastAsia="es-DO"/>
        </w:rPr>
        <w:t xml:space="preserve"> La Dirección del lugar de recepción de Sobre</w:t>
      </w:r>
      <w:r w:rsidR="00E00705">
        <w:rPr>
          <w:rFonts w:eastAsia="Times New Roman" w:cstheme="minorHAnsi"/>
          <w:color w:val="000000"/>
          <w:sz w:val="24"/>
          <w:szCs w:val="24"/>
          <w:lang w:eastAsia="es-DO"/>
        </w:rPr>
        <w:t>s</w:t>
      </w:r>
      <w:r w:rsidRPr="001A17A6">
        <w:rPr>
          <w:rFonts w:eastAsia="Times New Roman" w:cstheme="minorHAnsi"/>
          <w:color w:val="000000"/>
          <w:sz w:val="24"/>
          <w:szCs w:val="24"/>
          <w:lang w:eastAsia="es-DO"/>
        </w:rPr>
        <w:t xml:space="preserve"> A y Sobre</w:t>
      </w:r>
      <w:r w:rsidR="00E00705">
        <w:rPr>
          <w:rFonts w:eastAsia="Times New Roman" w:cstheme="minorHAnsi"/>
          <w:color w:val="000000"/>
          <w:sz w:val="24"/>
          <w:szCs w:val="24"/>
          <w:lang w:eastAsia="es-DO"/>
        </w:rPr>
        <w:t>s</w:t>
      </w:r>
      <w:r w:rsidRPr="001A17A6">
        <w:rPr>
          <w:rFonts w:eastAsia="Times New Roman" w:cstheme="minorHAnsi"/>
          <w:color w:val="000000"/>
          <w:sz w:val="24"/>
          <w:szCs w:val="24"/>
          <w:lang w:eastAsia="es-DO"/>
        </w:rPr>
        <w:t xml:space="preserve"> B, y apertura de Sobre A, </w:t>
      </w:r>
      <w:r>
        <w:rPr>
          <w:rFonts w:eastAsia="Times New Roman" w:cstheme="minorHAnsi"/>
          <w:color w:val="000000"/>
          <w:sz w:val="24"/>
          <w:szCs w:val="24"/>
          <w:lang w:eastAsia="es-DO"/>
        </w:rPr>
        <w:t xml:space="preserve">será </w:t>
      </w:r>
      <w:r w:rsidRPr="001A17A6">
        <w:rPr>
          <w:rFonts w:eastAsia="Times New Roman" w:cstheme="minorHAnsi"/>
          <w:color w:val="000000"/>
          <w:sz w:val="24"/>
          <w:szCs w:val="24"/>
          <w:lang w:eastAsia="es-DO"/>
        </w:rPr>
        <w:t>en El Instituto de Innovación en Biotecnología e Industria, IBII, ubicado en la Av. José Núñez de Cáceres Esq. Olof Palme, Sector San Gerónimo, D.N., R.D.</w:t>
      </w:r>
    </w:p>
    <w:p w:rsidR="00CD0CFD" w:rsidRDefault="00CD0CFD" w:rsidP="00CD0CFD">
      <w:pPr>
        <w:pStyle w:val="ListParagraph"/>
        <w:ind w:left="0"/>
        <w:jc w:val="both"/>
        <w:rPr>
          <w:rFonts w:eastAsia="Times New Roman" w:cstheme="minorHAnsi"/>
          <w:color w:val="000000"/>
          <w:sz w:val="24"/>
          <w:szCs w:val="24"/>
          <w:lang w:eastAsia="es-DO"/>
        </w:rPr>
      </w:pPr>
    </w:p>
    <w:p w:rsidR="00CD0CFD" w:rsidRDefault="00CD0CFD" w:rsidP="00CD0CFD">
      <w:pPr>
        <w:pStyle w:val="ListParagraph"/>
        <w:numPr>
          <w:ilvl w:val="0"/>
          <w:numId w:val="2"/>
        </w:numPr>
        <w:ind w:left="0" w:firstLine="0"/>
        <w:jc w:val="both"/>
        <w:rPr>
          <w:rFonts w:eastAsia="Times New Roman" w:cstheme="minorHAnsi"/>
          <w:color w:val="000000"/>
          <w:sz w:val="24"/>
          <w:szCs w:val="24"/>
          <w:lang w:eastAsia="es-DO"/>
        </w:rPr>
      </w:pPr>
      <w:r>
        <w:rPr>
          <w:rFonts w:eastAsia="Times New Roman" w:cstheme="minorHAnsi"/>
          <w:b/>
          <w:color w:val="000000"/>
          <w:sz w:val="24"/>
          <w:szCs w:val="24"/>
          <w:lang w:eastAsia="es-DO"/>
        </w:rPr>
        <w:t>Se a</w:t>
      </w:r>
      <w:r w:rsidRPr="009767FD">
        <w:rPr>
          <w:rFonts w:eastAsia="Times New Roman" w:cstheme="minorHAnsi"/>
          <w:b/>
          <w:color w:val="000000"/>
          <w:sz w:val="24"/>
          <w:szCs w:val="24"/>
          <w:lang w:eastAsia="es-DO"/>
        </w:rPr>
        <w:t>diciona:</w:t>
      </w:r>
      <w:r>
        <w:rPr>
          <w:rFonts w:eastAsia="Times New Roman" w:cstheme="minorHAnsi"/>
          <w:color w:val="000000"/>
          <w:sz w:val="24"/>
          <w:szCs w:val="24"/>
          <w:lang w:eastAsia="es-DO"/>
        </w:rPr>
        <w:t xml:space="preserve"> En el numeral 1.4, sobre Precio de la Oferta, lo siguiente:</w:t>
      </w:r>
    </w:p>
    <w:p w:rsidR="00CD0CFD" w:rsidRDefault="00CD0CFD" w:rsidP="00CD0CFD">
      <w:pPr>
        <w:pStyle w:val="ListParagraph"/>
        <w:ind w:left="0"/>
        <w:jc w:val="center"/>
        <w:rPr>
          <w:rFonts w:eastAsia="Times New Roman" w:cstheme="minorHAnsi"/>
          <w:color w:val="000000"/>
          <w:sz w:val="24"/>
          <w:szCs w:val="24"/>
          <w:lang w:eastAsia="es-DO"/>
        </w:rPr>
      </w:pPr>
    </w:p>
    <w:p w:rsidR="00CD0CFD" w:rsidRPr="00AD5087" w:rsidRDefault="00AD5087" w:rsidP="00AD5087">
      <w:pPr>
        <w:pStyle w:val="NormalWeb"/>
        <w:jc w:val="both"/>
        <w:rPr>
          <w:rFonts w:asciiTheme="minorHAnsi" w:hAnsiTheme="minorHAnsi" w:cstheme="minorHAnsi"/>
          <w:color w:val="000000"/>
        </w:rPr>
      </w:pPr>
      <w:r>
        <w:rPr>
          <w:rFonts w:cstheme="minorHAnsi"/>
          <w:b/>
          <w:color w:val="000000"/>
        </w:rPr>
        <w:t>El precio de zapatos es de Cuatrocientos pesos RD$477 las tallas de 28 a 33; y de 34 a 44, quinientos pesos RD$500.</w:t>
      </w:r>
    </w:p>
    <w:p w:rsidR="00CD0CFD" w:rsidRPr="006000F9" w:rsidRDefault="00CD0CFD" w:rsidP="00CD0CFD">
      <w:pPr>
        <w:pStyle w:val="ListParagraph"/>
        <w:numPr>
          <w:ilvl w:val="0"/>
          <w:numId w:val="2"/>
        </w:numPr>
        <w:ind w:left="0" w:firstLine="0"/>
        <w:jc w:val="both"/>
        <w:rPr>
          <w:rFonts w:eastAsia="Times New Roman" w:cstheme="minorHAnsi"/>
          <w:color w:val="000000"/>
          <w:sz w:val="24"/>
          <w:szCs w:val="24"/>
          <w:lang w:eastAsia="es-DO"/>
        </w:rPr>
      </w:pPr>
      <w:r w:rsidRPr="006000F9">
        <w:rPr>
          <w:rFonts w:eastAsia="Times New Roman" w:cstheme="minorHAnsi"/>
          <w:b/>
          <w:sz w:val="24"/>
          <w:szCs w:val="24"/>
          <w:lang w:eastAsia="es-ES"/>
        </w:rPr>
        <w:t xml:space="preserve">Se modifica: </w:t>
      </w:r>
      <w:r w:rsidRPr="006000F9">
        <w:rPr>
          <w:rFonts w:eastAsia="Times New Roman" w:cstheme="minorHAnsi"/>
          <w:color w:val="000000"/>
          <w:sz w:val="24"/>
          <w:szCs w:val="24"/>
          <w:lang w:eastAsia="es-DO"/>
        </w:rPr>
        <w:t xml:space="preserve"> el numeral 2.1, Objeto de la Licitación, que en lo adelante, dirá de la forma siguiente: </w:t>
      </w:r>
    </w:p>
    <w:p w:rsidR="00CD0CFD" w:rsidRDefault="00CD0CFD" w:rsidP="00CD0CFD">
      <w:pPr>
        <w:pStyle w:val="NormalWeb"/>
        <w:jc w:val="both"/>
        <w:rPr>
          <w:rFonts w:asciiTheme="minorHAnsi" w:hAnsiTheme="minorHAnsi" w:cstheme="minorHAnsi"/>
          <w:color w:val="000000"/>
        </w:rPr>
      </w:pPr>
      <w:r w:rsidRPr="006000F9">
        <w:rPr>
          <w:rFonts w:asciiTheme="minorHAnsi" w:hAnsiTheme="minorHAnsi" w:cstheme="minorHAnsi"/>
          <w:color w:val="000000"/>
        </w:rPr>
        <w:t xml:space="preserve">Constituye el objeto de la presente convocatoria la Adquisición de </w:t>
      </w:r>
      <w:r w:rsidR="0023704B">
        <w:rPr>
          <w:rFonts w:asciiTheme="minorHAnsi" w:hAnsiTheme="minorHAnsi" w:cstheme="minorHAnsi"/>
          <w:color w:val="000000"/>
        </w:rPr>
        <w:t>Zapatos</w:t>
      </w:r>
      <w:r w:rsidRPr="006000F9">
        <w:rPr>
          <w:rFonts w:asciiTheme="minorHAnsi" w:hAnsiTheme="minorHAnsi" w:cstheme="minorHAnsi"/>
          <w:color w:val="000000"/>
        </w:rPr>
        <w:t xml:space="preserve"> Escolares para el año escolar </w:t>
      </w:r>
      <w:r w:rsidRPr="006000F9">
        <w:rPr>
          <w:rFonts w:asciiTheme="minorHAnsi" w:hAnsiTheme="minorHAnsi" w:cstheme="minorHAnsi"/>
          <w:color w:val="000000"/>
          <w:highlight w:val="yellow"/>
        </w:rPr>
        <w:t>2020-2021</w:t>
      </w:r>
      <w:r w:rsidRPr="006000F9">
        <w:rPr>
          <w:rFonts w:asciiTheme="minorHAnsi" w:hAnsiTheme="minorHAnsi" w:cstheme="minorHAnsi"/>
          <w:color w:val="000000"/>
        </w:rPr>
        <w:t xml:space="preserve">; llevada a cabo por el Instituto Nacional de Bienestar Estudiantil, Ministerio de Educación, para personas físicas, y empresas textiles nacionales (Micros, Pequeñas y Medianas Empresas (MIPYMES), no adheridas al Régimen de Zonas Francas </w:t>
      </w:r>
      <w:r w:rsidRPr="00CD0CFD">
        <w:rPr>
          <w:rFonts w:asciiTheme="minorHAnsi" w:hAnsiTheme="minorHAnsi" w:cstheme="minorHAnsi"/>
          <w:color w:val="000000"/>
        </w:rPr>
        <w:t xml:space="preserve">(Referencia: </w:t>
      </w:r>
      <w:r w:rsidR="002910D3" w:rsidRPr="002910D3">
        <w:rPr>
          <w:rFonts w:cstheme="minorHAnsi"/>
          <w:bCs/>
          <w:lang w:eastAsia="es-ES"/>
        </w:rPr>
        <w:t>INABIE-CCC-LPN-2019-0029</w:t>
      </w:r>
      <w:r w:rsidRPr="006000F9">
        <w:rPr>
          <w:rFonts w:asciiTheme="minorHAnsi" w:hAnsiTheme="minorHAnsi" w:cstheme="minorHAnsi"/>
          <w:color w:val="000000"/>
        </w:rPr>
        <w:t>), de acuerdo con las condiciones fijadas en el presente Pliego de Condiciones Específicas.</w:t>
      </w:r>
      <w:bookmarkStart w:id="0" w:name="_Toc185953115"/>
      <w:bookmarkStart w:id="1" w:name="_Toc343081972"/>
    </w:p>
    <w:p w:rsidR="00CD0CFD" w:rsidRPr="00215CA7" w:rsidRDefault="00CD0CFD" w:rsidP="00CD0CFD">
      <w:pPr>
        <w:pStyle w:val="NormalWeb"/>
        <w:numPr>
          <w:ilvl w:val="0"/>
          <w:numId w:val="2"/>
        </w:numPr>
        <w:ind w:left="284"/>
        <w:jc w:val="both"/>
        <w:rPr>
          <w:rFonts w:asciiTheme="minorHAnsi" w:hAnsiTheme="minorHAnsi" w:cstheme="minorHAnsi"/>
          <w:color w:val="000000"/>
        </w:rPr>
      </w:pPr>
      <w:r w:rsidRPr="00215CA7">
        <w:rPr>
          <w:rFonts w:asciiTheme="minorHAnsi" w:hAnsiTheme="minorHAnsi" w:cstheme="minorHAnsi"/>
          <w:b/>
          <w:color w:val="000000"/>
        </w:rPr>
        <w:t>Se modifica</w:t>
      </w:r>
      <w:r>
        <w:rPr>
          <w:rFonts w:asciiTheme="minorHAnsi" w:hAnsiTheme="minorHAnsi" w:cstheme="minorHAnsi"/>
          <w:color w:val="000000"/>
        </w:rPr>
        <w:t>: E</w:t>
      </w:r>
      <w:r w:rsidR="00E00705">
        <w:rPr>
          <w:rFonts w:asciiTheme="minorHAnsi" w:hAnsiTheme="minorHAnsi" w:cstheme="minorHAnsi"/>
          <w:color w:val="000000"/>
        </w:rPr>
        <w:t>l  numeral 2.4 sobre</w:t>
      </w:r>
      <w:r w:rsidRPr="00215CA7">
        <w:rPr>
          <w:rFonts w:asciiTheme="minorHAnsi" w:hAnsiTheme="minorHAnsi" w:cstheme="minorHAnsi"/>
          <w:color w:val="000000"/>
        </w:rPr>
        <w:t xml:space="preserve"> </w:t>
      </w:r>
      <w:r w:rsidR="00E00705">
        <w:rPr>
          <w:rFonts w:asciiTheme="minorHAnsi" w:hAnsiTheme="minorHAnsi" w:cstheme="minorHAnsi"/>
          <w:color w:val="000000"/>
        </w:rPr>
        <w:t>Condiciones de Pago, para que en lo adelante diga, de la forma siguiente:</w:t>
      </w:r>
    </w:p>
    <w:p w:rsidR="00CD0CFD" w:rsidRPr="00215CA7" w:rsidRDefault="00CD0CFD" w:rsidP="00CD0CFD">
      <w:pPr>
        <w:pStyle w:val="NormalWeb"/>
        <w:jc w:val="both"/>
        <w:rPr>
          <w:rFonts w:asciiTheme="minorHAnsi" w:hAnsiTheme="minorHAnsi" w:cstheme="minorHAnsi"/>
          <w:color w:val="000000"/>
        </w:rPr>
      </w:pPr>
      <w:r w:rsidRPr="00215CA7">
        <w:rPr>
          <w:rFonts w:asciiTheme="minorHAnsi" w:hAnsiTheme="minorHAnsi" w:cstheme="minorHAnsi"/>
          <w:color w:val="000000"/>
        </w:rPr>
        <w:t>Se pagará un 20% de Anticipo a las MIPYMES contra presentación de las pólizas: del  buen uso del anticipo y 1% del fiel cumplimiento del contrato, este pago se hará de 30 a 45  días después de la certificación del contrato por la Contraloría General de la República, siempre y cuando esté al día con sus obligaciones (Impuestos, TSS, RPE y Registro de la cuenta bancaria como benef</w:t>
      </w:r>
      <w:r>
        <w:rPr>
          <w:rFonts w:asciiTheme="minorHAnsi" w:hAnsiTheme="minorHAnsi" w:cstheme="minorHAnsi"/>
          <w:color w:val="000000"/>
        </w:rPr>
        <w:t>iciario SIGEF).</w:t>
      </w:r>
    </w:p>
    <w:p w:rsidR="00CD0CFD" w:rsidRPr="00215CA7" w:rsidRDefault="00CD0CFD" w:rsidP="00CD0CFD">
      <w:pPr>
        <w:pStyle w:val="NormalWeb"/>
        <w:jc w:val="both"/>
        <w:rPr>
          <w:rFonts w:asciiTheme="minorHAnsi" w:hAnsiTheme="minorHAnsi" w:cstheme="minorHAnsi"/>
          <w:color w:val="000000"/>
        </w:rPr>
      </w:pPr>
      <w:r w:rsidRPr="00215CA7">
        <w:rPr>
          <w:rFonts w:asciiTheme="minorHAnsi" w:hAnsiTheme="minorHAnsi" w:cstheme="minorHAnsi"/>
          <w:color w:val="000000"/>
        </w:rPr>
        <w:t>El 80% restante será pagado a presentación de las facturas durante la ejecución del contrato aplicando las amortizaciones del anticipo, dicha amortización será suministrada por la División de Contabilidad. El periodo de pago se hará conforme a la política de pago establecida por la Tesorería Nacional de la Repub</w:t>
      </w:r>
      <w:r>
        <w:rPr>
          <w:rFonts w:asciiTheme="minorHAnsi" w:hAnsiTheme="minorHAnsi" w:cstheme="minorHAnsi"/>
          <w:color w:val="000000"/>
        </w:rPr>
        <w:t>lica  (periodo de 45 a 60 días).</w:t>
      </w:r>
    </w:p>
    <w:p w:rsidR="00CD0CFD" w:rsidRDefault="00CD0CFD" w:rsidP="00CD0CFD">
      <w:pPr>
        <w:pStyle w:val="NormalWeb"/>
        <w:jc w:val="both"/>
        <w:rPr>
          <w:rFonts w:asciiTheme="minorHAnsi" w:hAnsiTheme="minorHAnsi" w:cstheme="minorHAnsi"/>
          <w:color w:val="000000"/>
        </w:rPr>
      </w:pPr>
      <w:r w:rsidRPr="00215CA7">
        <w:rPr>
          <w:rFonts w:asciiTheme="minorHAnsi" w:hAnsiTheme="minorHAnsi" w:cstheme="minorHAnsi"/>
          <w:color w:val="000000"/>
        </w:rPr>
        <w:t>La documentación requerida para pago debe ser depositada conforme a los procedimientos establecidos por el INABIE para los fines.</w:t>
      </w:r>
    </w:p>
    <w:p w:rsidR="00CD0CFD" w:rsidRDefault="0023704B" w:rsidP="0023704B">
      <w:pPr>
        <w:pStyle w:val="NormalWeb"/>
        <w:tabs>
          <w:tab w:val="left" w:pos="2820"/>
        </w:tabs>
        <w:jc w:val="both"/>
        <w:rPr>
          <w:rFonts w:asciiTheme="minorHAnsi" w:hAnsiTheme="minorHAnsi" w:cstheme="minorHAnsi"/>
          <w:color w:val="000000"/>
        </w:rPr>
      </w:pPr>
      <w:r>
        <w:rPr>
          <w:rFonts w:asciiTheme="minorHAnsi" w:hAnsiTheme="minorHAnsi" w:cstheme="minorHAnsi"/>
          <w:color w:val="000000"/>
        </w:rPr>
        <w:tab/>
      </w:r>
    </w:p>
    <w:p w:rsidR="00CD0CFD" w:rsidRDefault="00CD0CFD" w:rsidP="00CD0CFD">
      <w:pPr>
        <w:pStyle w:val="NormalWeb"/>
        <w:jc w:val="both"/>
        <w:rPr>
          <w:rFonts w:asciiTheme="minorHAnsi" w:hAnsiTheme="minorHAnsi" w:cstheme="minorHAnsi"/>
          <w:color w:val="000000"/>
        </w:rPr>
      </w:pPr>
    </w:p>
    <w:p w:rsidR="00CD0CFD" w:rsidRDefault="00CD0CFD" w:rsidP="00CD0CFD">
      <w:pPr>
        <w:pStyle w:val="NormalWeb"/>
        <w:jc w:val="both"/>
        <w:rPr>
          <w:rFonts w:asciiTheme="minorHAnsi" w:hAnsiTheme="minorHAnsi" w:cstheme="minorHAnsi"/>
          <w:color w:val="000000"/>
        </w:rPr>
      </w:pPr>
    </w:p>
    <w:p w:rsidR="00CD0CFD" w:rsidRDefault="00CD0CFD" w:rsidP="00CD0CFD">
      <w:pPr>
        <w:pStyle w:val="NormalWeb"/>
        <w:jc w:val="both"/>
        <w:rPr>
          <w:rFonts w:asciiTheme="minorHAnsi" w:hAnsiTheme="minorHAnsi" w:cstheme="minorHAnsi"/>
          <w:color w:val="000000"/>
        </w:rPr>
      </w:pPr>
    </w:p>
    <w:p w:rsidR="00CD0CFD" w:rsidRDefault="00CD0CFD" w:rsidP="00CD0CFD">
      <w:pPr>
        <w:pStyle w:val="NormalWeb"/>
        <w:jc w:val="both"/>
        <w:rPr>
          <w:rFonts w:asciiTheme="minorHAnsi" w:hAnsiTheme="minorHAnsi" w:cstheme="minorHAnsi"/>
          <w:color w:val="000000"/>
        </w:rPr>
      </w:pPr>
    </w:p>
    <w:bookmarkEnd w:id="0"/>
    <w:bookmarkEnd w:id="1"/>
    <w:p w:rsidR="00CD0CFD" w:rsidRPr="009767FD" w:rsidRDefault="00CD0CFD" w:rsidP="00CD0CFD">
      <w:pPr>
        <w:pStyle w:val="ListParagraph"/>
        <w:ind w:left="0"/>
        <w:rPr>
          <w:rFonts w:eastAsia="Times New Roman" w:cstheme="minorHAnsi"/>
          <w:color w:val="000000"/>
          <w:sz w:val="24"/>
          <w:szCs w:val="24"/>
          <w:lang w:eastAsia="es-DO"/>
        </w:rPr>
      </w:pPr>
    </w:p>
    <w:p w:rsidR="00757EA5" w:rsidRPr="00BB5248" w:rsidRDefault="00CD0CFD" w:rsidP="00CD0CFD">
      <w:pPr>
        <w:pStyle w:val="NormalWeb"/>
        <w:numPr>
          <w:ilvl w:val="0"/>
          <w:numId w:val="2"/>
        </w:numPr>
        <w:ind w:left="0"/>
        <w:jc w:val="both"/>
        <w:rPr>
          <w:rFonts w:asciiTheme="minorHAnsi" w:hAnsiTheme="minorHAnsi" w:cstheme="minorHAnsi"/>
          <w:color w:val="000000"/>
        </w:rPr>
      </w:pPr>
      <w:r w:rsidRPr="006000F9">
        <w:rPr>
          <w:rFonts w:asciiTheme="minorHAnsi" w:hAnsiTheme="minorHAnsi" w:cstheme="minorHAnsi"/>
          <w:b/>
          <w:lang w:eastAsia="es-ES"/>
        </w:rPr>
        <w:t xml:space="preserve">Se modifica: </w:t>
      </w:r>
      <w:r>
        <w:rPr>
          <w:rFonts w:asciiTheme="minorHAnsi" w:hAnsiTheme="minorHAnsi" w:cstheme="minorHAnsi"/>
          <w:color w:val="000000"/>
        </w:rPr>
        <w:t>E</w:t>
      </w:r>
      <w:r w:rsidRPr="006000F9">
        <w:rPr>
          <w:rFonts w:asciiTheme="minorHAnsi" w:hAnsiTheme="minorHAnsi" w:cstheme="minorHAnsi"/>
          <w:color w:val="000000"/>
        </w:rPr>
        <w:t xml:space="preserve">l numeral 2.5, Cronograma de Licitación, </w:t>
      </w:r>
      <w:r w:rsidRPr="006000F9">
        <w:rPr>
          <w:rFonts w:asciiTheme="minorHAnsi" w:hAnsiTheme="minorHAnsi" w:cstheme="minorHAnsi"/>
          <w:lang w:eastAsia="es-ES"/>
        </w:rPr>
        <w:t>que en lo adelante, dirá de la forma siguiente</w:t>
      </w:r>
      <w:r w:rsidRPr="006000F9">
        <w:rPr>
          <w:rFonts w:asciiTheme="minorHAnsi" w:hAnsiTheme="minorHAnsi" w:cstheme="minorHAnsi"/>
          <w:color w:val="000000"/>
        </w:rPr>
        <w:t>:</w:t>
      </w:r>
      <w:r w:rsidR="00757EA5" w:rsidRPr="00BB5248">
        <w:rPr>
          <w:rFonts w:asciiTheme="minorHAnsi" w:hAnsiTheme="minorHAnsi" w:cstheme="minorHAnsi"/>
          <w:color w:val="000000"/>
        </w:rPr>
        <w:t xml:space="preserve"> </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320"/>
      </w:tblGrid>
      <w:tr w:rsidR="00757EA5" w:rsidRPr="000566A4" w:rsidTr="000B7F72">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rsidR="00757EA5" w:rsidRPr="000566A4" w:rsidRDefault="00757EA5" w:rsidP="000B7F72">
            <w:pPr>
              <w:spacing w:after="0" w:line="240" w:lineRule="auto"/>
              <w:jc w:val="center"/>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rsidR="00757EA5" w:rsidRPr="000566A4" w:rsidRDefault="00757EA5" w:rsidP="000B7F72">
            <w:pPr>
              <w:spacing w:after="0" w:line="240" w:lineRule="auto"/>
              <w:jc w:val="center"/>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t>PERÍODO DE EJECUCIÓN</w:t>
            </w:r>
          </w:p>
        </w:tc>
      </w:tr>
      <w:tr w:rsidR="00757EA5" w:rsidRPr="000566A4" w:rsidTr="000B7F72">
        <w:trPr>
          <w:trHeight w:val="620"/>
          <w:jc w:val="center"/>
        </w:trPr>
        <w:tc>
          <w:tcPr>
            <w:tcW w:w="5048" w:type="dxa"/>
            <w:tcBorders>
              <w:top w:val="single" w:sz="4" w:space="0" w:color="auto"/>
              <w:left w:val="single" w:sz="4" w:space="0" w:color="auto"/>
              <w:bottom w:val="single" w:sz="4" w:space="0" w:color="auto"/>
              <w:right w:val="single" w:sz="4" w:space="0" w:color="auto"/>
            </w:tcBorders>
          </w:tcPr>
          <w:p w:rsidR="00757EA5" w:rsidRPr="000566A4" w:rsidRDefault="00757EA5" w:rsidP="00757EA5">
            <w:pPr>
              <w:numPr>
                <w:ilvl w:val="0"/>
                <w:numId w:val="1"/>
              </w:numPr>
              <w:spacing w:before="240" w:after="0" w:line="240" w:lineRule="auto"/>
              <w:jc w:val="both"/>
              <w:rPr>
                <w:rFonts w:ascii="Arial Narrow" w:eastAsia="Times New Roman" w:hAnsi="Arial Narrow" w:cs="Arial"/>
                <w:b/>
                <w:sz w:val="24"/>
                <w:szCs w:val="24"/>
                <w:lang w:val="es-AR" w:eastAsia="es-ES"/>
              </w:rPr>
            </w:pPr>
            <w:r w:rsidRPr="000566A4">
              <w:rPr>
                <w:rFonts w:ascii="Arial Narrow" w:eastAsia="Times New Roman" w:hAnsi="Arial Narrow" w:cs="Arial"/>
                <w:sz w:val="24"/>
                <w:szCs w:val="24"/>
                <w:lang w:val="es-AR" w:eastAsia="es-ES"/>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Dos días consecutivos/ dos diarios de circulación nacional.</w:t>
            </w:r>
          </w:p>
          <w:p w:rsidR="00757EA5" w:rsidRPr="000566A4" w:rsidRDefault="00757EA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Jueves 7 y viernes 8 de noviembre de 2019</w:t>
            </w:r>
          </w:p>
        </w:tc>
      </w:tr>
      <w:tr w:rsidR="00757EA5" w:rsidRPr="000566A4" w:rsidTr="000B7F72">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757EA5">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Período para realizar consultas por parte de los interesados</w:t>
            </w:r>
          </w:p>
        </w:tc>
        <w:tc>
          <w:tcPr>
            <w:tcW w:w="4320"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0B7F72">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50% del plazo para presentar Ofertas</w:t>
            </w:r>
          </w:p>
          <w:p w:rsidR="00757EA5" w:rsidRPr="000566A4" w:rsidRDefault="00757EA5" w:rsidP="000B7F72">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 xml:space="preserve">Hasta </w:t>
            </w:r>
            <w:r w:rsidRPr="000566A4">
              <w:rPr>
                <w:rFonts w:ascii="Arial Narrow" w:eastAsia="Times New Roman" w:hAnsi="Arial Narrow" w:cs="Arial"/>
                <w:b/>
                <w:color w:val="000000"/>
                <w:sz w:val="24"/>
                <w:szCs w:val="24"/>
                <w:lang w:eastAsia="es-ES"/>
              </w:rPr>
              <w:t>Martes 3 de Diciembre de 2019</w:t>
            </w:r>
          </w:p>
        </w:tc>
      </w:tr>
      <w:tr w:rsidR="00757EA5" w:rsidRPr="000566A4" w:rsidTr="000B7F72">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757EA5">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Plazo para emitir respuesta por parte del Comité de 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0B7F72">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No más allá de la fecha que signifique el</w:t>
            </w:r>
            <w:r w:rsidRPr="000566A4">
              <w:rPr>
                <w:rFonts w:ascii="Arial Narrow" w:eastAsia="Times New Roman" w:hAnsi="Arial Narrow" w:cs="Arial"/>
                <w:b/>
                <w:color w:val="000000"/>
                <w:sz w:val="24"/>
                <w:szCs w:val="24"/>
                <w:lang w:eastAsia="es-ES"/>
              </w:rPr>
              <w:t xml:space="preserve"> </w:t>
            </w:r>
            <w:r w:rsidRPr="000566A4">
              <w:rPr>
                <w:rFonts w:ascii="Arial Narrow" w:eastAsia="Times New Roman" w:hAnsi="Arial Narrow" w:cs="Arial"/>
                <w:color w:val="000000"/>
                <w:sz w:val="24"/>
                <w:szCs w:val="24"/>
                <w:lang w:eastAsia="es-ES"/>
              </w:rPr>
              <w:t>75% del plazo para presentar Ofertas</w:t>
            </w:r>
          </w:p>
          <w:p w:rsidR="00757EA5" w:rsidRPr="000566A4" w:rsidRDefault="00757EA5" w:rsidP="000B7F72">
            <w:pPr>
              <w:spacing w:after="0" w:line="240" w:lineRule="auto"/>
              <w:contextualSpacing/>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color w:val="000000"/>
                <w:sz w:val="24"/>
                <w:szCs w:val="24"/>
                <w:lang w:eastAsia="es-ES"/>
              </w:rPr>
              <w:t>Hasta</w:t>
            </w:r>
            <w:r w:rsidRPr="000566A4">
              <w:rPr>
                <w:rFonts w:ascii="Arial Narrow" w:eastAsia="Times New Roman" w:hAnsi="Arial Narrow" w:cs="Arial"/>
                <w:b/>
                <w:color w:val="000000"/>
                <w:sz w:val="24"/>
                <w:szCs w:val="24"/>
                <w:lang w:eastAsia="es-ES"/>
              </w:rPr>
              <w:t xml:space="preserve"> Martes 17 de Diciembre</w:t>
            </w:r>
          </w:p>
        </w:tc>
      </w:tr>
      <w:tr w:rsidR="00757EA5" w:rsidRPr="000566A4" w:rsidTr="000B7F72">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757EA5">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b/>
                <w:bCs/>
                <w:sz w:val="24"/>
                <w:szCs w:val="24"/>
                <w:lang w:eastAsia="es-ES"/>
              </w:rPr>
              <w:t>Recepción de Propuestas: “Sobre A” y “Sobre B” y apertura de “Sobre A” Propuestas Técnicas</w:t>
            </w:r>
            <w:r w:rsidRPr="000566A4">
              <w:rPr>
                <w:rFonts w:ascii="Arial Narrow" w:eastAsia="Times New Roman" w:hAnsi="Arial Narrow" w:cs="Arial"/>
                <w:bCs/>
                <w:sz w:val="24"/>
                <w:szCs w:val="24"/>
                <w:lang w:eastAsia="es-ES"/>
              </w:rPr>
              <w:t>.</w:t>
            </w:r>
          </w:p>
        </w:tc>
        <w:tc>
          <w:tcPr>
            <w:tcW w:w="4320"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30 días hábiles contados a partir de la última publicación</w:t>
            </w:r>
          </w:p>
          <w:p w:rsidR="00757EA5" w:rsidRPr="000566A4" w:rsidRDefault="00757EA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Viernes 27 de Diciembre de 2019</w:t>
            </w:r>
          </w:p>
        </w:tc>
      </w:tr>
      <w:tr w:rsidR="00757EA5" w:rsidRPr="000566A4" w:rsidTr="000B7F72">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757EA5">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Verificación, Validación y Evaluación contenido de las Propuestas Técnicas “Sobre A” y Homologación de Muestras, si procede.</w:t>
            </w:r>
          </w:p>
        </w:tc>
        <w:tc>
          <w:tcPr>
            <w:tcW w:w="4320"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Miércoles 15 de Enero </w:t>
            </w:r>
            <w:r w:rsidRPr="000566A4">
              <w:rPr>
                <w:rFonts w:ascii="Arial Narrow" w:eastAsia="Times New Roman" w:hAnsi="Arial Narrow" w:cs="Arial"/>
                <w:b/>
                <w:color w:val="000000"/>
                <w:sz w:val="24"/>
                <w:szCs w:val="24"/>
                <w:highlight w:val="yellow"/>
                <w:lang w:eastAsia="es-ES"/>
              </w:rPr>
              <w:t>2020</w:t>
            </w:r>
          </w:p>
        </w:tc>
      </w:tr>
      <w:tr w:rsidR="00757EA5" w:rsidRPr="000566A4" w:rsidTr="000B7F7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757EA5">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Lunes 20 de Enero de </w:t>
            </w:r>
            <w:r w:rsidRPr="000566A4">
              <w:rPr>
                <w:rFonts w:ascii="Arial Narrow" w:eastAsia="Times New Roman" w:hAnsi="Arial Narrow" w:cs="Arial"/>
                <w:b/>
                <w:color w:val="000000"/>
                <w:sz w:val="24"/>
                <w:szCs w:val="24"/>
                <w:highlight w:val="yellow"/>
                <w:lang w:eastAsia="es-ES"/>
              </w:rPr>
              <w:t>2020</w:t>
            </w:r>
          </w:p>
        </w:tc>
      </w:tr>
      <w:tr w:rsidR="00757EA5" w:rsidRPr="000566A4" w:rsidTr="000B7F7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757EA5">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0B7F7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Recepción de documentos subsanados: Dentro de los cinco (5) días laborables contados a partir de la notificación de la subsanación, en horario de 9:00 am a 4:00 pm, en las oficinas del INABIE.</w:t>
            </w:r>
          </w:p>
        </w:tc>
      </w:tr>
      <w:tr w:rsidR="00757EA5" w:rsidRPr="000566A4" w:rsidTr="000B7F72">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757EA5">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0B7F7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Ponderación de documentos subsanados: Dentro de los tres (3) días laborables siguientes a la recepción de los documentos subsanados.</w:t>
            </w:r>
          </w:p>
        </w:tc>
      </w:tr>
      <w:tr w:rsidR="00757EA5" w:rsidRPr="000566A4" w:rsidTr="000B7F72">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757EA5">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Lunes 3 y Martes 4 de Febrero de </w:t>
            </w:r>
            <w:r w:rsidRPr="000566A4">
              <w:rPr>
                <w:rFonts w:ascii="Arial Narrow" w:eastAsia="Times New Roman" w:hAnsi="Arial Narrow" w:cs="Arial"/>
                <w:b/>
                <w:color w:val="000000"/>
                <w:sz w:val="24"/>
                <w:szCs w:val="24"/>
                <w:highlight w:val="yellow"/>
                <w:lang w:eastAsia="es-ES"/>
              </w:rPr>
              <w:t>2020</w:t>
            </w:r>
          </w:p>
        </w:tc>
      </w:tr>
      <w:tr w:rsidR="00757EA5" w:rsidRPr="000566A4" w:rsidTr="000B7F7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757EA5">
            <w:pPr>
              <w:numPr>
                <w:ilvl w:val="0"/>
                <w:numId w:val="1"/>
              </w:numPr>
              <w:spacing w:after="0" w:line="240" w:lineRule="auto"/>
              <w:jc w:val="both"/>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E00705">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 xml:space="preserve">Lunes  10 de Febrero de </w:t>
            </w:r>
            <w:r w:rsidRPr="000566A4">
              <w:rPr>
                <w:rFonts w:ascii="Arial Narrow" w:eastAsia="Times New Roman" w:hAnsi="Arial Narrow" w:cs="Arial"/>
                <w:b/>
                <w:color w:val="000000"/>
                <w:sz w:val="24"/>
                <w:szCs w:val="24"/>
                <w:highlight w:val="yellow"/>
                <w:lang w:eastAsia="es-ES"/>
              </w:rPr>
              <w:t>2020,</w:t>
            </w:r>
            <w:r w:rsidRPr="000566A4">
              <w:rPr>
                <w:rFonts w:ascii="Arial Narrow" w:eastAsia="Times New Roman" w:hAnsi="Arial Narrow" w:cs="Arial"/>
                <w:b/>
                <w:color w:val="000000"/>
                <w:sz w:val="24"/>
                <w:szCs w:val="24"/>
                <w:lang w:eastAsia="es-ES"/>
              </w:rPr>
              <w:t xml:space="preserve"> a las 10:00 a.m</w:t>
            </w:r>
            <w:r w:rsidR="00E00705">
              <w:rPr>
                <w:rFonts w:ascii="Arial Narrow" w:eastAsia="Times New Roman" w:hAnsi="Arial Narrow" w:cs="Arial"/>
                <w:b/>
                <w:color w:val="000000"/>
                <w:sz w:val="24"/>
                <w:szCs w:val="24"/>
                <w:lang w:eastAsia="es-ES"/>
              </w:rPr>
              <w:t>.</w:t>
            </w:r>
          </w:p>
        </w:tc>
      </w:tr>
      <w:tr w:rsidR="00757EA5" w:rsidRPr="000566A4" w:rsidTr="000B7F72">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757EA5">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Del martes 11 de Febrero al Lunes 2 de Marzo de </w:t>
            </w:r>
            <w:r w:rsidRPr="000566A4">
              <w:rPr>
                <w:rFonts w:ascii="Arial Narrow" w:eastAsia="Times New Roman" w:hAnsi="Arial Narrow" w:cs="Arial"/>
                <w:b/>
                <w:color w:val="000000"/>
                <w:sz w:val="24"/>
                <w:szCs w:val="24"/>
                <w:highlight w:val="yellow"/>
                <w:lang w:eastAsia="es-ES"/>
              </w:rPr>
              <w:t>2020</w:t>
            </w:r>
          </w:p>
        </w:tc>
      </w:tr>
      <w:tr w:rsidR="00757EA5" w:rsidRPr="000566A4" w:rsidTr="000B7F72">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757EA5">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0B7F7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 xml:space="preserve">Martes 3 de Marzo de </w:t>
            </w:r>
            <w:r>
              <w:rPr>
                <w:rFonts w:ascii="Arial Narrow" w:eastAsia="Times New Roman" w:hAnsi="Arial Narrow" w:cs="Arial"/>
                <w:b/>
                <w:color w:val="000000"/>
                <w:sz w:val="24"/>
                <w:szCs w:val="24"/>
                <w:highlight w:val="yellow"/>
                <w:lang w:eastAsia="es-ES"/>
              </w:rPr>
              <w:t>2020</w:t>
            </w:r>
          </w:p>
        </w:tc>
      </w:tr>
      <w:tr w:rsidR="00757EA5" w:rsidRPr="000566A4" w:rsidTr="000B7F72">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757EA5">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5 días hábiles a partir del Acto Administrativo de Adjudicación</w:t>
            </w:r>
          </w:p>
          <w:p w:rsidR="00757EA5" w:rsidRPr="000566A4" w:rsidRDefault="00757EA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10 de Marzo de </w:t>
            </w:r>
            <w:r w:rsidRPr="000566A4">
              <w:rPr>
                <w:rFonts w:ascii="Arial Narrow" w:eastAsia="Times New Roman" w:hAnsi="Arial Narrow" w:cs="Arial"/>
                <w:b/>
                <w:color w:val="000000"/>
                <w:sz w:val="24"/>
                <w:szCs w:val="24"/>
                <w:highlight w:val="yellow"/>
                <w:lang w:eastAsia="es-ES"/>
              </w:rPr>
              <w:t>2020</w:t>
            </w:r>
          </w:p>
        </w:tc>
      </w:tr>
      <w:tr w:rsidR="00757EA5" w:rsidRPr="000566A4" w:rsidTr="000B7F7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757EA5">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lastRenderedPageBreak/>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Dentro de los siguientes 05 días hábiles, contados a partir de la Notificación de Adjudicación</w:t>
            </w:r>
          </w:p>
          <w:p w:rsidR="00757EA5" w:rsidRPr="000566A4" w:rsidRDefault="00757EA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17 de Marzo de </w:t>
            </w:r>
            <w:r w:rsidRPr="000566A4">
              <w:rPr>
                <w:rFonts w:ascii="Arial Narrow" w:eastAsia="Times New Roman" w:hAnsi="Arial Narrow" w:cs="Arial"/>
                <w:b/>
                <w:color w:val="000000"/>
                <w:sz w:val="24"/>
                <w:szCs w:val="24"/>
                <w:highlight w:val="yellow"/>
                <w:lang w:eastAsia="es-ES"/>
              </w:rPr>
              <w:t>2020</w:t>
            </w:r>
          </w:p>
        </w:tc>
      </w:tr>
      <w:tr w:rsidR="00757EA5" w:rsidRPr="000566A4" w:rsidTr="000B7F7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757EA5">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No mayor a 20 días hábiles contados a partir de la Notificación de Adjudicación</w:t>
            </w:r>
          </w:p>
          <w:p w:rsidR="00757EA5" w:rsidRPr="000566A4" w:rsidRDefault="00757EA5" w:rsidP="00E00705">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7 de Abril de </w:t>
            </w:r>
            <w:r w:rsidRPr="00E00705">
              <w:rPr>
                <w:rFonts w:ascii="Arial Narrow" w:eastAsia="Times New Roman" w:hAnsi="Arial Narrow" w:cs="Arial"/>
                <w:b/>
                <w:color w:val="000000"/>
                <w:sz w:val="24"/>
                <w:szCs w:val="24"/>
                <w:highlight w:val="yellow"/>
                <w:lang w:eastAsia="es-ES"/>
              </w:rPr>
              <w:t>2020</w:t>
            </w:r>
            <w:r w:rsidRPr="000566A4">
              <w:rPr>
                <w:rFonts w:ascii="Times New Roman" w:eastAsia="Times New Roman" w:hAnsi="Times New Roman" w:cs="Times New Roman"/>
                <w:sz w:val="24"/>
                <w:szCs w:val="24"/>
                <w:lang w:eastAsia="es-ES"/>
              </w:rPr>
              <w:t xml:space="preserve"> </w:t>
            </w:r>
          </w:p>
        </w:tc>
      </w:tr>
      <w:tr w:rsidR="00757EA5" w:rsidRPr="000566A4" w:rsidTr="000B7F72">
        <w:trPr>
          <w:trHeight w:val="751"/>
          <w:jc w:val="center"/>
        </w:trPr>
        <w:tc>
          <w:tcPr>
            <w:tcW w:w="5048"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757EA5">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rsidR="00757EA5" w:rsidRPr="000566A4" w:rsidRDefault="00757EA5" w:rsidP="000B7F7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 xml:space="preserve">Miércoles 8 de Abril de </w:t>
            </w:r>
            <w:r w:rsidRPr="000566A4">
              <w:rPr>
                <w:rFonts w:ascii="Arial Narrow" w:eastAsia="Times New Roman" w:hAnsi="Arial Narrow" w:cs="Arial"/>
                <w:b/>
                <w:color w:val="000000"/>
                <w:sz w:val="24"/>
                <w:szCs w:val="24"/>
                <w:highlight w:val="yellow"/>
                <w:lang w:eastAsia="es-ES"/>
              </w:rPr>
              <w:t>2020</w:t>
            </w:r>
          </w:p>
        </w:tc>
      </w:tr>
    </w:tbl>
    <w:p w:rsidR="00757EA5" w:rsidRDefault="00757EA5" w:rsidP="00757EA5">
      <w:pPr>
        <w:rPr>
          <w:rFonts w:ascii="Arial Narrow" w:eastAsia="Times New Roman" w:hAnsi="Arial Narrow" w:cs="Arial"/>
          <w:b/>
          <w:sz w:val="28"/>
          <w:szCs w:val="28"/>
          <w:lang w:eastAsia="es-ES"/>
        </w:rPr>
      </w:pPr>
    </w:p>
    <w:p w:rsidR="00AF5DA7" w:rsidRDefault="00AF5DA7" w:rsidP="00AF5DA7">
      <w:pPr>
        <w:pStyle w:val="ListParagraph"/>
        <w:numPr>
          <w:ilvl w:val="0"/>
          <w:numId w:val="2"/>
        </w:numPr>
        <w:ind w:left="284"/>
        <w:rPr>
          <w:rFonts w:eastAsia="Times New Roman" w:cstheme="minorHAnsi"/>
          <w:color w:val="000000"/>
          <w:sz w:val="24"/>
          <w:szCs w:val="24"/>
          <w:lang w:eastAsia="es-DO"/>
        </w:rPr>
      </w:pPr>
      <w:r w:rsidRPr="00367BF8">
        <w:rPr>
          <w:rFonts w:eastAsia="Times New Roman" w:cstheme="minorHAnsi"/>
          <w:b/>
          <w:color w:val="000000"/>
          <w:sz w:val="24"/>
          <w:szCs w:val="24"/>
          <w:lang w:eastAsia="es-DO"/>
        </w:rPr>
        <w:t>Se adiciona:</w:t>
      </w:r>
      <w:r w:rsidRPr="00367BF8">
        <w:rPr>
          <w:rFonts w:eastAsia="Times New Roman" w:cstheme="minorHAnsi"/>
          <w:color w:val="000000"/>
          <w:sz w:val="24"/>
          <w:szCs w:val="24"/>
          <w:lang w:eastAsia="es-DO"/>
        </w:rPr>
        <w:t xml:space="preserve"> En el numeral 2.8, sobre Descripción de los Bienes, se agrega el detalle, reparto y distribución de los lotes, a saber:</w:t>
      </w:r>
    </w:p>
    <w:p w:rsidR="00AF5DA7" w:rsidRDefault="00AF5DA7" w:rsidP="00AF5DA7">
      <w:pPr>
        <w:pStyle w:val="ListParagraph"/>
        <w:ind w:left="0"/>
        <w:jc w:val="both"/>
        <w:rPr>
          <w:rFonts w:eastAsia="Times New Roman" w:cstheme="minorHAnsi"/>
          <w:color w:val="000000"/>
          <w:sz w:val="24"/>
          <w:szCs w:val="24"/>
          <w:lang w:eastAsia="es-DO"/>
        </w:rPr>
      </w:pPr>
    </w:p>
    <w:p w:rsidR="00AD5087" w:rsidRDefault="00AD5087" w:rsidP="00AD5087">
      <w:pPr>
        <w:pStyle w:val="ListParagraph"/>
        <w:ind w:left="-1134"/>
        <w:jc w:val="both"/>
        <w:rPr>
          <w:rFonts w:eastAsia="Times New Roman" w:cstheme="minorHAnsi"/>
          <w:color w:val="000000"/>
          <w:sz w:val="24"/>
          <w:szCs w:val="24"/>
          <w:lang w:eastAsia="es-DO"/>
        </w:rPr>
      </w:pPr>
      <w:r w:rsidRPr="00AD5087">
        <w:drawing>
          <wp:inline distT="0" distB="0" distL="0" distR="0">
            <wp:extent cx="6860481" cy="1262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3002" cy="1292172"/>
                    </a:xfrm>
                    <a:prstGeom prst="rect">
                      <a:avLst/>
                    </a:prstGeom>
                    <a:noFill/>
                    <a:ln>
                      <a:noFill/>
                    </a:ln>
                  </pic:spPr>
                </pic:pic>
              </a:graphicData>
            </a:graphic>
          </wp:inline>
        </w:drawing>
      </w:r>
    </w:p>
    <w:p w:rsidR="00AD5087" w:rsidRDefault="00AD5087" w:rsidP="00AF5DA7">
      <w:pPr>
        <w:pStyle w:val="ListParagraph"/>
        <w:ind w:left="0"/>
        <w:jc w:val="both"/>
        <w:rPr>
          <w:rFonts w:eastAsia="Times New Roman" w:cstheme="minorHAnsi"/>
          <w:color w:val="000000"/>
          <w:sz w:val="24"/>
          <w:szCs w:val="24"/>
          <w:lang w:eastAsia="es-DO"/>
        </w:rPr>
      </w:pPr>
    </w:p>
    <w:p w:rsidR="00AD5087" w:rsidRDefault="00AD5087" w:rsidP="00AD5087">
      <w:pPr>
        <w:pStyle w:val="ListParagraph"/>
        <w:ind w:left="-1134"/>
        <w:jc w:val="both"/>
        <w:rPr>
          <w:rFonts w:eastAsia="Times New Roman" w:cstheme="minorHAnsi"/>
          <w:color w:val="000000"/>
          <w:sz w:val="24"/>
          <w:szCs w:val="24"/>
          <w:lang w:eastAsia="es-DO"/>
        </w:rPr>
      </w:pPr>
      <w:r w:rsidRPr="00AD5087">
        <w:drawing>
          <wp:inline distT="0" distB="0" distL="0" distR="0">
            <wp:extent cx="6780551" cy="1341782"/>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18947" cy="1428535"/>
                    </a:xfrm>
                    <a:prstGeom prst="rect">
                      <a:avLst/>
                    </a:prstGeom>
                    <a:noFill/>
                    <a:ln>
                      <a:noFill/>
                    </a:ln>
                  </pic:spPr>
                </pic:pic>
              </a:graphicData>
            </a:graphic>
          </wp:inline>
        </w:drawing>
      </w:r>
    </w:p>
    <w:p w:rsidR="00AD5087" w:rsidRPr="00367BF8" w:rsidRDefault="00AD5087" w:rsidP="00AF5DA7">
      <w:pPr>
        <w:pStyle w:val="ListParagraph"/>
        <w:ind w:left="0"/>
        <w:jc w:val="both"/>
        <w:rPr>
          <w:rFonts w:eastAsia="Times New Roman" w:cstheme="minorHAnsi"/>
          <w:color w:val="000000"/>
          <w:sz w:val="24"/>
          <w:szCs w:val="24"/>
          <w:lang w:eastAsia="es-DO"/>
        </w:rPr>
      </w:pPr>
    </w:p>
    <w:p w:rsidR="00AF5DA7" w:rsidRDefault="00AF5DA7" w:rsidP="00AF5DA7">
      <w:pPr>
        <w:pStyle w:val="ListParagraph"/>
        <w:numPr>
          <w:ilvl w:val="0"/>
          <w:numId w:val="2"/>
        </w:numPr>
        <w:ind w:left="0" w:firstLine="0"/>
        <w:jc w:val="both"/>
        <w:rPr>
          <w:rFonts w:eastAsia="Times New Roman" w:cstheme="minorHAnsi"/>
          <w:color w:val="000000"/>
          <w:sz w:val="24"/>
          <w:szCs w:val="24"/>
          <w:lang w:eastAsia="es-DO"/>
        </w:rPr>
      </w:pPr>
      <w:r w:rsidRPr="00367BF8">
        <w:rPr>
          <w:rFonts w:eastAsia="Times New Roman" w:cstheme="minorHAnsi"/>
          <w:b/>
          <w:color w:val="000000"/>
          <w:sz w:val="24"/>
          <w:szCs w:val="24"/>
          <w:lang w:eastAsia="es-DO"/>
        </w:rPr>
        <w:t>Se modifica:</w:t>
      </w:r>
      <w:r>
        <w:rPr>
          <w:rFonts w:eastAsia="Times New Roman" w:cstheme="minorHAnsi"/>
          <w:color w:val="000000"/>
          <w:sz w:val="24"/>
          <w:szCs w:val="24"/>
          <w:lang w:eastAsia="es-DO"/>
        </w:rPr>
        <w:t xml:space="preserve"> El numeral 2.10, sobre Programa de Suministro, que en lo adelante, dirá de la forma siguiente: </w:t>
      </w:r>
    </w:p>
    <w:p w:rsidR="00AF5DA7" w:rsidRDefault="00AF5DA7" w:rsidP="00AF5DA7">
      <w:pPr>
        <w:jc w:val="both"/>
        <w:rPr>
          <w:rFonts w:eastAsia="Times New Roman" w:cstheme="minorHAnsi"/>
          <w:color w:val="000000"/>
          <w:sz w:val="24"/>
          <w:szCs w:val="24"/>
          <w:lang w:eastAsia="es-DO"/>
        </w:rPr>
      </w:pPr>
      <w:r w:rsidRPr="00367BF8">
        <w:rPr>
          <w:rFonts w:eastAsia="Times New Roman" w:cstheme="minorHAnsi"/>
          <w:color w:val="000000"/>
          <w:sz w:val="24"/>
          <w:szCs w:val="24"/>
          <w:lang w:eastAsia="es-DO"/>
        </w:rPr>
        <w:t xml:space="preserve">Los pedidos se recibirán en </w:t>
      </w:r>
      <w:r w:rsidR="00E00705">
        <w:rPr>
          <w:rFonts w:eastAsia="Times New Roman" w:cstheme="minorHAnsi"/>
          <w:color w:val="000000"/>
          <w:sz w:val="24"/>
          <w:szCs w:val="24"/>
          <w:lang w:eastAsia="es-DO"/>
        </w:rPr>
        <w:t>los almacenes de</w:t>
      </w:r>
      <w:r w:rsidRPr="00367BF8">
        <w:rPr>
          <w:rFonts w:eastAsia="Times New Roman" w:cstheme="minorHAnsi"/>
          <w:color w:val="000000"/>
          <w:sz w:val="24"/>
          <w:szCs w:val="24"/>
          <w:lang w:eastAsia="es-DO"/>
        </w:rPr>
        <w:t xml:space="preserve"> la Entidad Contratante </w:t>
      </w:r>
      <w:r w:rsidR="00E00705">
        <w:rPr>
          <w:rFonts w:eastAsia="Times New Roman" w:cstheme="minorHAnsi"/>
          <w:color w:val="000000"/>
          <w:sz w:val="24"/>
          <w:szCs w:val="24"/>
          <w:lang w:eastAsia="es-DO"/>
        </w:rPr>
        <w:t xml:space="preserve">(INABIE), </w:t>
      </w:r>
      <w:r w:rsidRPr="00367BF8">
        <w:rPr>
          <w:rFonts w:eastAsia="Times New Roman" w:cstheme="minorHAnsi"/>
          <w:color w:val="000000"/>
          <w:sz w:val="24"/>
          <w:szCs w:val="24"/>
          <w:lang w:eastAsia="es-DO"/>
        </w:rPr>
        <w:t>dentro del ámbito territorial de la República Dominicana y conforme al Cronograma de Entrega establecido.</w:t>
      </w:r>
    </w:p>
    <w:p w:rsidR="00AF5DA7" w:rsidRPr="00367BF8" w:rsidRDefault="00AF5DA7" w:rsidP="00AF5DA7">
      <w:pPr>
        <w:jc w:val="both"/>
        <w:rPr>
          <w:rFonts w:eastAsia="Times New Roman" w:cstheme="minorHAnsi"/>
          <w:color w:val="000000"/>
          <w:sz w:val="24"/>
          <w:szCs w:val="24"/>
          <w:lang w:eastAsia="es-DO"/>
        </w:rPr>
      </w:pPr>
      <w:r>
        <w:rPr>
          <w:rFonts w:eastAsia="Times New Roman" w:cstheme="minorHAnsi"/>
          <w:color w:val="000000"/>
          <w:sz w:val="24"/>
          <w:szCs w:val="24"/>
          <w:lang w:eastAsia="es-DO"/>
        </w:rPr>
        <w:t>El plan de entrega, para los adjudicatarios, será el siguiente:</w:t>
      </w:r>
    </w:p>
    <w:tbl>
      <w:tblPr>
        <w:tblW w:w="5680" w:type="dxa"/>
        <w:jc w:val="center"/>
        <w:tblCellMar>
          <w:left w:w="70" w:type="dxa"/>
          <w:right w:w="70" w:type="dxa"/>
        </w:tblCellMar>
        <w:tblLook w:val="04A0" w:firstRow="1" w:lastRow="0" w:firstColumn="1" w:lastColumn="0" w:noHBand="0" w:noVBand="1"/>
      </w:tblPr>
      <w:tblGrid>
        <w:gridCol w:w="2120"/>
        <w:gridCol w:w="1680"/>
        <w:gridCol w:w="1880"/>
      </w:tblGrid>
      <w:tr w:rsidR="00AF5DA7" w:rsidRPr="00367BF8" w:rsidTr="00701A7E">
        <w:trPr>
          <w:trHeight w:val="300"/>
          <w:jc w:val="center"/>
        </w:trPr>
        <w:tc>
          <w:tcPr>
            <w:tcW w:w="2120" w:type="dxa"/>
            <w:tcBorders>
              <w:top w:val="nil"/>
              <w:left w:val="nil"/>
              <w:bottom w:val="nil"/>
              <w:right w:val="nil"/>
            </w:tcBorders>
            <w:shd w:val="clear" w:color="auto" w:fill="auto"/>
            <w:noWrap/>
            <w:vAlign w:val="bottom"/>
            <w:hideMark/>
          </w:tcPr>
          <w:p w:rsidR="00AF5DA7" w:rsidRPr="00367BF8" w:rsidRDefault="00AF5DA7" w:rsidP="00701A7E">
            <w:pPr>
              <w:spacing w:after="0" w:line="240" w:lineRule="auto"/>
              <w:rPr>
                <w:rFonts w:ascii="Calibri" w:eastAsia="Times New Roman" w:hAnsi="Calibri" w:cs="Calibri"/>
                <w:color w:val="000000"/>
                <w:lang w:eastAsia="es-DO"/>
              </w:rPr>
            </w:pPr>
          </w:p>
        </w:tc>
        <w:tc>
          <w:tcPr>
            <w:tcW w:w="1680" w:type="dxa"/>
            <w:tcBorders>
              <w:top w:val="nil"/>
              <w:left w:val="nil"/>
              <w:bottom w:val="nil"/>
              <w:right w:val="nil"/>
            </w:tcBorders>
            <w:shd w:val="clear" w:color="auto" w:fill="auto"/>
            <w:noWrap/>
            <w:vAlign w:val="bottom"/>
            <w:hideMark/>
          </w:tcPr>
          <w:p w:rsidR="00AF5DA7" w:rsidRPr="00367BF8" w:rsidRDefault="00AF5DA7" w:rsidP="00701A7E">
            <w:pPr>
              <w:spacing w:after="0" w:line="240" w:lineRule="auto"/>
              <w:rPr>
                <w:rFonts w:ascii="Times New Roman" w:eastAsia="Times New Roman" w:hAnsi="Times New Roman" w:cs="Times New Roman"/>
                <w:sz w:val="20"/>
                <w:szCs w:val="20"/>
                <w:lang w:eastAsia="es-DO"/>
              </w:rPr>
            </w:pPr>
          </w:p>
        </w:tc>
        <w:tc>
          <w:tcPr>
            <w:tcW w:w="1880" w:type="dxa"/>
            <w:tcBorders>
              <w:top w:val="nil"/>
              <w:left w:val="nil"/>
              <w:bottom w:val="nil"/>
              <w:right w:val="nil"/>
            </w:tcBorders>
            <w:shd w:val="clear" w:color="auto" w:fill="auto"/>
            <w:noWrap/>
            <w:vAlign w:val="bottom"/>
            <w:hideMark/>
          </w:tcPr>
          <w:p w:rsidR="00AF5DA7" w:rsidRPr="00367BF8" w:rsidRDefault="00AF5DA7" w:rsidP="00701A7E">
            <w:pPr>
              <w:spacing w:after="0" w:line="240" w:lineRule="auto"/>
              <w:rPr>
                <w:rFonts w:ascii="Times New Roman" w:eastAsia="Times New Roman" w:hAnsi="Times New Roman" w:cs="Times New Roman"/>
                <w:sz w:val="20"/>
                <w:szCs w:val="20"/>
                <w:lang w:eastAsia="es-DO"/>
              </w:rPr>
            </w:pPr>
          </w:p>
        </w:tc>
      </w:tr>
      <w:tr w:rsidR="00AF5DA7" w:rsidRPr="00367BF8" w:rsidTr="00701A7E">
        <w:trPr>
          <w:trHeight w:val="300"/>
          <w:jc w:val="center"/>
        </w:trPr>
        <w:tc>
          <w:tcPr>
            <w:tcW w:w="2120" w:type="dxa"/>
            <w:tcBorders>
              <w:top w:val="nil"/>
              <w:left w:val="nil"/>
              <w:bottom w:val="nil"/>
              <w:right w:val="nil"/>
            </w:tcBorders>
            <w:shd w:val="clear" w:color="auto" w:fill="auto"/>
            <w:noWrap/>
            <w:vAlign w:val="bottom"/>
            <w:hideMark/>
          </w:tcPr>
          <w:p w:rsidR="00AF5DA7" w:rsidRPr="00367BF8" w:rsidRDefault="00AF5DA7" w:rsidP="00701A7E">
            <w:pPr>
              <w:spacing w:after="0" w:line="240" w:lineRule="auto"/>
              <w:rPr>
                <w:rFonts w:ascii="Calibri" w:eastAsia="Times New Roman" w:hAnsi="Calibri" w:cs="Calibri"/>
                <w:color w:val="000000"/>
                <w:lang w:eastAsia="es-DO"/>
              </w:rPr>
            </w:pPr>
          </w:p>
        </w:tc>
        <w:tc>
          <w:tcPr>
            <w:tcW w:w="1680" w:type="dxa"/>
            <w:tcBorders>
              <w:top w:val="nil"/>
              <w:left w:val="nil"/>
              <w:bottom w:val="nil"/>
              <w:right w:val="nil"/>
            </w:tcBorders>
            <w:shd w:val="clear" w:color="auto" w:fill="auto"/>
            <w:noWrap/>
            <w:vAlign w:val="bottom"/>
            <w:hideMark/>
          </w:tcPr>
          <w:p w:rsidR="00AF5DA7" w:rsidRPr="00367BF8" w:rsidRDefault="00AF5DA7" w:rsidP="00701A7E">
            <w:pPr>
              <w:spacing w:after="0" w:line="240" w:lineRule="auto"/>
              <w:rPr>
                <w:rFonts w:ascii="Calibri" w:eastAsia="Times New Roman" w:hAnsi="Calibri" w:cs="Calibri"/>
                <w:color w:val="000000"/>
                <w:lang w:eastAsia="es-DO"/>
              </w:rPr>
            </w:pPr>
          </w:p>
        </w:tc>
        <w:tc>
          <w:tcPr>
            <w:tcW w:w="1880" w:type="dxa"/>
            <w:tcBorders>
              <w:top w:val="nil"/>
              <w:left w:val="nil"/>
              <w:bottom w:val="nil"/>
              <w:right w:val="nil"/>
            </w:tcBorders>
            <w:shd w:val="clear" w:color="auto" w:fill="auto"/>
            <w:noWrap/>
            <w:vAlign w:val="bottom"/>
            <w:hideMark/>
          </w:tcPr>
          <w:p w:rsidR="00AF5DA7" w:rsidRPr="00367BF8" w:rsidRDefault="00AF5DA7" w:rsidP="00701A7E">
            <w:pPr>
              <w:spacing w:after="0" w:line="240" w:lineRule="auto"/>
              <w:rPr>
                <w:rFonts w:ascii="Times New Roman" w:eastAsia="Times New Roman" w:hAnsi="Times New Roman" w:cs="Times New Roman"/>
                <w:sz w:val="20"/>
                <w:szCs w:val="20"/>
                <w:lang w:eastAsia="es-DO"/>
              </w:rPr>
            </w:pPr>
          </w:p>
        </w:tc>
      </w:tr>
      <w:tr w:rsidR="00AF5DA7" w:rsidRPr="00367BF8" w:rsidTr="00701A7E">
        <w:trPr>
          <w:trHeight w:val="300"/>
          <w:jc w:val="center"/>
        </w:trPr>
        <w:tc>
          <w:tcPr>
            <w:tcW w:w="2120" w:type="dxa"/>
            <w:tcBorders>
              <w:top w:val="nil"/>
              <w:left w:val="nil"/>
              <w:bottom w:val="nil"/>
              <w:right w:val="nil"/>
            </w:tcBorders>
            <w:shd w:val="clear" w:color="auto" w:fill="auto"/>
            <w:noWrap/>
            <w:vAlign w:val="bottom"/>
            <w:hideMark/>
          </w:tcPr>
          <w:p w:rsidR="00AF5DA7" w:rsidRPr="00367BF8" w:rsidRDefault="00AF5DA7" w:rsidP="00701A7E">
            <w:pPr>
              <w:spacing w:after="0" w:line="240" w:lineRule="auto"/>
              <w:rPr>
                <w:rFonts w:ascii="Times New Roman" w:eastAsia="Times New Roman" w:hAnsi="Times New Roman" w:cs="Times New Roman"/>
                <w:sz w:val="20"/>
                <w:szCs w:val="20"/>
                <w:lang w:eastAsia="es-DO"/>
              </w:rPr>
            </w:pPr>
          </w:p>
        </w:tc>
        <w:tc>
          <w:tcPr>
            <w:tcW w:w="1680" w:type="dxa"/>
            <w:tcBorders>
              <w:top w:val="nil"/>
              <w:left w:val="nil"/>
              <w:bottom w:val="nil"/>
              <w:right w:val="nil"/>
            </w:tcBorders>
            <w:shd w:val="clear" w:color="auto" w:fill="auto"/>
            <w:noWrap/>
            <w:vAlign w:val="bottom"/>
            <w:hideMark/>
          </w:tcPr>
          <w:p w:rsidR="00AF5DA7" w:rsidRPr="00367BF8" w:rsidRDefault="00AF5DA7" w:rsidP="00701A7E">
            <w:pPr>
              <w:spacing w:after="0" w:line="240" w:lineRule="auto"/>
              <w:rPr>
                <w:rFonts w:ascii="Times New Roman" w:eastAsia="Times New Roman" w:hAnsi="Times New Roman" w:cs="Times New Roman"/>
                <w:sz w:val="20"/>
                <w:szCs w:val="20"/>
                <w:lang w:eastAsia="es-DO"/>
              </w:rPr>
            </w:pPr>
          </w:p>
        </w:tc>
        <w:tc>
          <w:tcPr>
            <w:tcW w:w="1880" w:type="dxa"/>
            <w:tcBorders>
              <w:top w:val="nil"/>
              <w:left w:val="nil"/>
              <w:bottom w:val="nil"/>
              <w:right w:val="nil"/>
            </w:tcBorders>
            <w:shd w:val="clear" w:color="auto" w:fill="auto"/>
            <w:noWrap/>
            <w:vAlign w:val="bottom"/>
            <w:hideMark/>
          </w:tcPr>
          <w:p w:rsidR="00AF5DA7" w:rsidRPr="00367BF8" w:rsidRDefault="00AF5DA7" w:rsidP="00701A7E">
            <w:pPr>
              <w:spacing w:after="0" w:line="240" w:lineRule="auto"/>
              <w:rPr>
                <w:rFonts w:ascii="Times New Roman" w:eastAsia="Times New Roman" w:hAnsi="Times New Roman" w:cs="Times New Roman"/>
                <w:sz w:val="20"/>
                <w:szCs w:val="20"/>
                <w:lang w:eastAsia="es-DO"/>
              </w:rPr>
            </w:pPr>
          </w:p>
        </w:tc>
      </w:tr>
      <w:tr w:rsidR="00AF5DA7" w:rsidRPr="00367BF8" w:rsidTr="00701A7E">
        <w:trPr>
          <w:trHeight w:val="600"/>
          <w:jc w:val="center"/>
        </w:trPr>
        <w:tc>
          <w:tcPr>
            <w:tcW w:w="2120" w:type="dxa"/>
            <w:tcBorders>
              <w:top w:val="single" w:sz="4" w:space="0" w:color="auto"/>
              <w:left w:val="single" w:sz="4" w:space="0" w:color="auto"/>
              <w:bottom w:val="single" w:sz="4" w:space="0" w:color="auto"/>
              <w:right w:val="single" w:sz="4" w:space="0" w:color="auto"/>
            </w:tcBorders>
            <w:shd w:val="clear" w:color="000000" w:fill="1F4E78"/>
            <w:noWrap/>
            <w:vAlign w:val="bottom"/>
            <w:hideMark/>
          </w:tcPr>
          <w:p w:rsidR="00AF5DA7" w:rsidRPr="00367BF8" w:rsidRDefault="00AF5DA7" w:rsidP="00701A7E">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Tipo de entrega </w:t>
            </w:r>
          </w:p>
        </w:tc>
        <w:tc>
          <w:tcPr>
            <w:tcW w:w="1680" w:type="dxa"/>
            <w:tcBorders>
              <w:top w:val="single" w:sz="4" w:space="0" w:color="auto"/>
              <w:left w:val="nil"/>
              <w:bottom w:val="single" w:sz="4" w:space="0" w:color="auto"/>
              <w:right w:val="single" w:sz="4" w:space="0" w:color="auto"/>
            </w:tcBorders>
            <w:shd w:val="clear" w:color="000000" w:fill="1F4E78"/>
            <w:noWrap/>
            <w:vAlign w:val="bottom"/>
            <w:hideMark/>
          </w:tcPr>
          <w:p w:rsidR="00AF5DA7" w:rsidRPr="00367BF8" w:rsidRDefault="00AF5DA7" w:rsidP="00701A7E">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 de entrega </w:t>
            </w:r>
          </w:p>
        </w:tc>
        <w:tc>
          <w:tcPr>
            <w:tcW w:w="1880" w:type="dxa"/>
            <w:tcBorders>
              <w:top w:val="single" w:sz="4" w:space="0" w:color="auto"/>
              <w:left w:val="nil"/>
              <w:bottom w:val="single" w:sz="4" w:space="0" w:color="auto"/>
              <w:right w:val="single" w:sz="4" w:space="0" w:color="auto"/>
            </w:tcBorders>
            <w:shd w:val="clear" w:color="000000" w:fill="1F4E78"/>
            <w:vAlign w:val="bottom"/>
            <w:hideMark/>
          </w:tcPr>
          <w:p w:rsidR="00AF5DA7" w:rsidRPr="00367BF8" w:rsidRDefault="00AF5DA7" w:rsidP="00701A7E">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Fecha  límite de  entrega </w:t>
            </w:r>
          </w:p>
        </w:tc>
      </w:tr>
      <w:tr w:rsidR="00AF5DA7" w:rsidRPr="00367BF8" w:rsidTr="00701A7E">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F5DA7" w:rsidRPr="00367BF8" w:rsidRDefault="00AF5DA7"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Primera entrega </w:t>
            </w:r>
          </w:p>
        </w:tc>
        <w:tc>
          <w:tcPr>
            <w:tcW w:w="1680" w:type="dxa"/>
            <w:tcBorders>
              <w:top w:val="nil"/>
              <w:left w:val="nil"/>
              <w:bottom w:val="single" w:sz="4" w:space="0" w:color="auto"/>
              <w:right w:val="single" w:sz="4" w:space="0" w:color="auto"/>
            </w:tcBorders>
            <w:shd w:val="clear" w:color="auto" w:fill="auto"/>
            <w:noWrap/>
            <w:vAlign w:val="bottom"/>
            <w:hideMark/>
          </w:tcPr>
          <w:p w:rsidR="00AF5DA7" w:rsidRPr="00367BF8" w:rsidRDefault="00AF5DA7" w:rsidP="00701A7E">
            <w:pPr>
              <w:spacing w:after="0" w:line="240" w:lineRule="auto"/>
              <w:jc w:val="center"/>
              <w:rPr>
                <w:rFonts w:ascii="Calibri" w:eastAsia="Times New Roman" w:hAnsi="Calibri" w:cs="Calibri"/>
                <w:color w:val="000000"/>
                <w:lang w:eastAsia="es-DO"/>
              </w:rPr>
            </w:pPr>
            <w:r w:rsidRPr="00367BF8">
              <w:rPr>
                <w:rFonts w:ascii="Calibri" w:eastAsia="Times New Roman" w:hAnsi="Calibri" w:cs="Calibri"/>
                <w:color w:val="000000"/>
                <w:lang w:eastAsia="es-DO"/>
              </w:rPr>
              <w:t>50%</w:t>
            </w:r>
          </w:p>
        </w:tc>
        <w:tc>
          <w:tcPr>
            <w:tcW w:w="1880" w:type="dxa"/>
            <w:tcBorders>
              <w:top w:val="nil"/>
              <w:left w:val="nil"/>
              <w:bottom w:val="single" w:sz="4" w:space="0" w:color="auto"/>
              <w:right w:val="single" w:sz="4" w:space="0" w:color="auto"/>
            </w:tcBorders>
            <w:shd w:val="clear" w:color="auto" w:fill="auto"/>
            <w:noWrap/>
            <w:vAlign w:val="bottom"/>
            <w:hideMark/>
          </w:tcPr>
          <w:p w:rsidR="00AF5DA7" w:rsidRPr="00367BF8" w:rsidRDefault="00AF5DA7"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12 de mayo </w:t>
            </w:r>
          </w:p>
        </w:tc>
      </w:tr>
      <w:tr w:rsidR="00AF5DA7" w:rsidRPr="00367BF8" w:rsidTr="00701A7E">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F5DA7" w:rsidRPr="00367BF8" w:rsidRDefault="00AF5DA7"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Segunda entrega </w:t>
            </w:r>
          </w:p>
        </w:tc>
        <w:tc>
          <w:tcPr>
            <w:tcW w:w="1680" w:type="dxa"/>
            <w:tcBorders>
              <w:top w:val="nil"/>
              <w:left w:val="nil"/>
              <w:bottom w:val="single" w:sz="4" w:space="0" w:color="auto"/>
              <w:right w:val="single" w:sz="4" w:space="0" w:color="auto"/>
            </w:tcBorders>
            <w:shd w:val="clear" w:color="auto" w:fill="auto"/>
            <w:noWrap/>
            <w:vAlign w:val="bottom"/>
            <w:hideMark/>
          </w:tcPr>
          <w:p w:rsidR="00AF5DA7" w:rsidRPr="00367BF8" w:rsidRDefault="00AF5DA7" w:rsidP="00701A7E">
            <w:pPr>
              <w:spacing w:after="0" w:line="240" w:lineRule="auto"/>
              <w:jc w:val="center"/>
              <w:rPr>
                <w:rFonts w:ascii="Calibri" w:eastAsia="Times New Roman" w:hAnsi="Calibri" w:cs="Calibri"/>
                <w:color w:val="000000"/>
                <w:lang w:eastAsia="es-DO"/>
              </w:rPr>
            </w:pPr>
            <w:r w:rsidRPr="00367BF8">
              <w:rPr>
                <w:rFonts w:ascii="Calibri" w:eastAsia="Times New Roman" w:hAnsi="Calibri" w:cs="Calibri"/>
                <w:color w:val="000000"/>
                <w:lang w:eastAsia="es-DO"/>
              </w:rPr>
              <w:t>50%</w:t>
            </w:r>
          </w:p>
        </w:tc>
        <w:tc>
          <w:tcPr>
            <w:tcW w:w="1880" w:type="dxa"/>
            <w:tcBorders>
              <w:top w:val="nil"/>
              <w:left w:val="nil"/>
              <w:bottom w:val="single" w:sz="4" w:space="0" w:color="auto"/>
              <w:right w:val="single" w:sz="4" w:space="0" w:color="auto"/>
            </w:tcBorders>
            <w:shd w:val="clear" w:color="auto" w:fill="auto"/>
            <w:noWrap/>
            <w:vAlign w:val="bottom"/>
            <w:hideMark/>
          </w:tcPr>
          <w:p w:rsidR="00AF5DA7" w:rsidRPr="00367BF8" w:rsidRDefault="00AF5DA7"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10 de junio </w:t>
            </w:r>
          </w:p>
        </w:tc>
      </w:tr>
      <w:tr w:rsidR="00AF5DA7" w:rsidRPr="00367BF8" w:rsidTr="00701A7E">
        <w:trPr>
          <w:trHeight w:val="705"/>
          <w:jc w:val="center"/>
        </w:trPr>
        <w:tc>
          <w:tcPr>
            <w:tcW w:w="5680" w:type="dxa"/>
            <w:gridSpan w:val="3"/>
            <w:tcBorders>
              <w:top w:val="single" w:sz="4" w:space="0" w:color="auto"/>
              <w:left w:val="nil"/>
              <w:bottom w:val="nil"/>
              <w:right w:val="nil"/>
            </w:tcBorders>
            <w:shd w:val="clear" w:color="auto" w:fill="auto"/>
            <w:vAlign w:val="bottom"/>
            <w:hideMark/>
          </w:tcPr>
          <w:p w:rsidR="00AF5DA7" w:rsidRPr="00367BF8" w:rsidRDefault="00AF5DA7"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b/>
                <w:color w:val="000000"/>
                <w:lang w:eastAsia="es-DO"/>
              </w:rPr>
              <w:lastRenderedPageBreak/>
              <w:t>Nota:</w:t>
            </w:r>
            <w:r w:rsidRPr="00367BF8">
              <w:rPr>
                <w:rFonts w:ascii="Calibri" w:eastAsia="Times New Roman" w:hAnsi="Calibri" w:cs="Calibri"/>
                <w:color w:val="000000"/>
                <w:lang w:eastAsia="es-DO"/>
              </w:rPr>
              <w:t xml:space="preserve"> Cada  entrega se debe hacer con la proporción de tallas correspondientes.</w:t>
            </w:r>
          </w:p>
        </w:tc>
      </w:tr>
    </w:tbl>
    <w:p w:rsidR="00AF5DA7" w:rsidRPr="00367BF8" w:rsidRDefault="00AF5DA7" w:rsidP="00AF5DA7">
      <w:pPr>
        <w:jc w:val="both"/>
        <w:rPr>
          <w:rFonts w:eastAsia="Times New Roman" w:cstheme="minorHAnsi"/>
          <w:color w:val="000000"/>
          <w:sz w:val="24"/>
          <w:szCs w:val="24"/>
          <w:lang w:eastAsia="es-DO"/>
        </w:rPr>
      </w:pPr>
    </w:p>
    <w:p w:rsidR="00AF5DA7" w:rsidRPr="006000F9" w:rsidRDefault="00AF5DA7" w:rsidP="00AF5DA7">
      <w:pPr>
        <w:pStyle w:val="ListParagraph"/>
        <w:numPr>
          <w:ilvl w:val="0"/>
          <w:numId w:val="2"/>
        </w:numPr>
        <w:ind w:left="0" w:firstLine="0"/>
        <w:jc w:val="both"/>
        <w:rPr>
          <w:rFonts w:eastAsia="Times New Roman" w:cstheme="minorHAnsi"/>
          <w:color w:val="000000"/>
          <w:sz w:val="24"/>
          <w:szCs w:val="24"/>
          <w:lang w:eastAsia="es-DO"/>
        </w:rPr>
      </w:pPr>
      <w:r w:rsidRPr="006000F9">
        <w:rPr>
          <w:rFonts w:eastAsia="Times New Roman" w:cstheme="minorHAnsi"/>
          <w:b/>
          <w:color w:val="000000"/>
          <w:sz w:val="24"/>
          <w:szCs w:val="24"/>
          <w:lang w:eastAsia="es-DO"/>
        </w:rPr>
        <w:t xml:space="preserve">Se elimina: </w:t>
      </w:r>
      <w:r w:rsidRPr="006000F9">
        <w:rPr>
          <w:rFonts w:eastAsia="Times New Roman" w:cstheme="minorHAnsi"/>
          <w:color w:val="000000"/>
          <w:sz w:val="24"/>
          <w:szCs w:val="24"/>
          <w:lang w:eastAsia="es-DO"/>
        </w:rPr>
        <w:t>El numeral 3.4.1 sobre Situación Financiera.</w:t>
      </w:r>
    </w:p>
    <w:p w:rsidR="00AF5DA7" w:rsidRPr="006000F9" w:rsidRDefault="00AF5DA7" w:rsidP="00AF5DA7">
      <w:pPr>
        <w:pStyle w:val="ListParagraph"/>
        <w:ind w:left="0"/>
        <w:jc w:val="both"/>
        <w:rPr>
          <w:rFonts w:eastAsia="Times New Roman" w:cstheme="minorHAnsi"/>
          <w:color w:val="000000"/>
          <w:sz w:val="24"/>
          <w:szCs w:val="24"/>
          <w:lang w:eastAsia="es-DO"/>
        </w:rPr>
      </w:pPr>
    </w:p>
    <w:p w:rsidR="00AF5DA7" w:rsidRPr="009A208F" w:rsidRDefault="00AF5DA7" w:rsidP="00AF5DA7">
      <w:pPr>
        <w:pStyle w:val="ListParagraph"/>
        <w:numPr>
          <w:ilvl w:val="0"/>
          <w:numId w:val="2"/>
        </w:numPr>
        <w:ind w:left="0" w:firstLine="0"/>
        <w:jc w:val="both"/>
        <w:rPr>
          <w:rFonts w:eastAsia="Times New Roman" w:cstheme="minorHAnsi"/>
          <w:color w:val="000000"/>
          <w:sz w:val="24"/>
          <w:szCs w:val="24"/>
          <w:lang w:eastAsia="es-DO"/>
        </w:rPr>
      </w:pPr>
      <w:r w:rsidRPr="006000F9">
        <w:rPr>
          <w:rFonts w:eastAsia="Times New Roman" w:cstheme="minorHAnsi"/>
          <w:b/>
          <w:sz w:val="24"/>
          <w:szCs w:val="24"/>
          <w:lang w:eastAsia="es-ES"/>
        </w:rPr>
        <w:t xml:space="preserve">Se modifica: </w:t>
      </w:r>
      <w:r w:rsidRPr="006000F9">
        <w:rPr>
          <w:rFonts w:eastAsia="Times New Roman" w:cstheme="minorHAnsi"/>
          <w:color w:val="000000"/>
          <w:sz w:val="24"/>
          <w:szCs w:val="24"/>
          <w:lang w:eastAsia="es-DO"/>
        </w:rPr>
        <w:t>El primer párrafo del numeral 3.8 sobre Plazo de Mantenimiento de la Oferta, que en lo adelante, dirá de la forma siguiente:</w:t>
      </w:r>
    </w:p>
    <w:p w:rsidR="00AF5DA7" w:rsidRPr="006000F9" w:rsidRDefault="00AF5DA7" w:rsidP="00AF5DA7">
      <w:pPr>
        <w:jc w:val="both"/>
        <w:rPr>
          <w:rFonts w:eastAsia="Times New Roman" w:cstheme="minorHAnsi"/>
          <w:color w:val="000000"/>
          <w:sz w:val="24"/>
          <w:szCs w:val="24"/>
          <w:lang w:eastAsia="es-DO"/>
        </w:rPr>
      </w:pPr>
      <w:r w:rsidRPr="006000F9">
        <w:rPr>
          <w:rFonts w:eastAsia="Times New Roman" w:cstheme="minorHAnsi"/>
          <w:color w:val="000000"/>
          <w:sz w:val="24"/>
          <w:szCs w:val="24"/>
          <w:lang w:eastAsia="es-DO"/>
        </w:rPr>
        <w:t xml:space="preserve">Según establece el Artículo 115 del Reglamento 543-12, los Oferentes/Proponentes deberán mantener las Ofertas por el término de setenta y dos (72) días hábiles (laborables) contados a partir de la fecha del acto de apertura realizado el Viernes 27 de diciembre hasta el 17 de marzo de </w:t>
      </w:r>
      <w:r w:rsidRPr="00E00705">
        <w:rPr>
          <w:rFonts w:eastAsia="Times New Roman" w:cstheme="minorHAnsi"/>
          <w:b/>
          <w:color w:val="000000"/>
          <w:sz w:val="24"/>
          <w:szCs w:val="24"/>
          <w:highlight w:val="yellow"/>
          <w:lang w:eastAsia="es-DO"/>
        </w:rPr>
        <w:t>2020</w:t>
      </w:r>
      <w:r w:rsidRPr="006000F9">
        <w:rPr>
          <w:rFonts w:eastAsia="Times New Roman" w:cstheme="minorHAnsi"/>
          <w:color w:val="000000"/>
          <w:sz w:val="24"/>
          <w:szCs w:val="24"/>
          <w:lang w:eastAsia="es-DO"/>
        </w:rPr>
        <w:t>, fecha en la cual se habrá publicado los Oferentes que resulten adjudicatarios y se habrá constituido la Garantía de Fiel Cumplimiento del Contrato. Si no manifiesta en forma fehaciente su voluntad de no renovar la Oferta con una antelación mínima de diez (10) días hábiles al vencimiento del plazo, aquella se considerará prorrogada automáticamente por el mismo plazo original o el que fije la Entidad Contratante y así sucesivamente.</w:t>
      </w:r>
    </w:p>
    <w:p w:rsidR="00AF5DA7" w:rsidRPr="006000F9" w:rsidRDefault="00AF5DA7" w:rsidP="00AF5DA7">
      <w:pPr>
        <w:pStyle w:val="ListParagraph"/>
        <w:numPr>
          <w:ilvl w:val="0"/>
          <w:numId w:val="2"/>
        </w:numPr>
        <w:ind w:left="0" w:firstLine="0"/>
        <w:jc w:val="both"/>
        <w:rPr>
          <w:rFonts w:eastAsia="Times New Roman" w:cstheme="minorHAnsi"/>
          <w:color w:val="000000"/>
          <w:sz w:val="24"/>
          <w:szCs w:val="24"/>
          <w:lang w:eastAsia="es-DO"/>
        </w:rPr>
      </w:pPr>
      <w:r w:rsidRPr="006000F9">
        <w:rPr>
          <w:rFonts w:eastAsia="Times New Roman" w:cstheme="minorHAnsi"/>
          <w:b/>
          <w:sz w:val="24"/>
          <w:szCs w:val="24"/>
          <w:lang w:eastAsia="es-ES"/>
        </w:rPr>
        <w:t xml:space="preserve">Se modifica: </w:t>
      </w:r>
      <w:r w:rsidRPr="006000F9">
        <w:rPr>
          <w:rFonts w:eastAsia="Times New Roman" w:cstheme="minorHAnsi"/>
          <w:color w:val="000000"/>
          <w:sz w:val="24"/>
          <w:szCs w:val="24"/>
          <w:lang w:eastAsia="es-DO"/>
        </w:rPr>
        <w:t>El artículo 4.1, Criterios de Adjudicación, que en lo adelante, dirá de la forma siguiente:</w:t>
      </w:r>
    </w:p>
    <w:p w:rsidR="00AF5DA7" w:rsidRPr="00215CA7" w:rsidRDefault="00AF5DA7" w:rsidP="00AF5D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financieros más favorables, establecidos en el Acápite 2.14: Documentación a Presentar en SOBRE A (Oferta Técnica), de este Pliego de Condiciones Específi</w:t>
      </w:r>
      <w:r>
        <w:rPr>
          <w:rFonts w:eastAsia="Times New Roman" w:cstheme="minorHAnsi"/>
          <w:color w:val="000000"/>
          <w:sz w:val="24"/>
          <w:szCs w:val="24"/>
          <w:lang w:eastAsia="es-DO"/>
        </w:rPr>
        <w:t>cas.</w:t>
      </w:r>
    </w:p>
    <w:p w:rsidR="00AF5DA7" w:rsidRPr="00215CA7" w:rsidRDefault="00AF5DA7" w:rsidP="00AF5D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Los criterios a continuación expuestos no habilitan o inhabilitan a una empresa. Las empresas habilitadas técnica y económicamente serán adjudicadas sin excepción de acuerdo a su capacidad instalada (CI), experiencia y disponibilidad de entrega, la cual se presenta de acuerdo a los contratos con otras empresa</w:t>
      </w:r>
      <w:r>
        <w:rPr>
          <w:rFonts w:eastAsia="Times New Roman" w:cstheme="minorHAnsi"/>
          <w:color w:val="000000"/>
          <w:sz w:val="24"/>
          <w:szCs w:val="24"/>
          <w:lang w:eastAsia="es-DO"/>
        </w:rPr>
        <w:t>s y a los volúmenes de entrega.</w:t>
      </w:r>
    </w:p>
    <w:p w:rsidR="00AF5DA7" w:rsidRPr="00215CA7" w:rsidRDefault="00AF5DA7" w:rsidP="00AF5D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Se procederá al cálculo de Capacidad Instalada considerando</w:t>
      </w:r>
      <w:r>
        <w:rPr>
          <w:rFonts w:eastAsia="Times New Roman" w:cstheme="minorHAnsi"/>
          <w:color w:val="000000"/>
          <w:sz w:val="24"/>
          <w:szCs w:val="24"/>
          <w:lang w:eastAsia="es-DO"/>
        </w:rPr>
        <w:t xml:space="preserve"> los siguientes tres aspectos: </w:t>
      </w:r>
    </w:p>
    <w:p w:rsidR="00AF5DA7" w:rsidRPr="00215CA7" w:rsidRDefault="00AF5DA7" w:rsidP="00AF5D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Capacidad Productiva (CP) (Maquinarias y Procesos): Representa por lo menos el 80% de la capacidad instalada total de la empresa y se mide a partir de la visita  técnica y el formulario de capacidad instalada en función de las maquinarias y ár</w:t>
      </w:r>
      <w:r>
        <w:rPr>
          <w:rFonts w:eastAsia="Times New Roman" w:cstheme="minorHAnsi"/>
          <w:color w:val="000000"/>
          <w:sz w:val="24"/>
          <w:szCs w:val="24"/>
          <w:lang w:eastAsia="es-DO"/>
        </w:rPr>
        <w:t xml:space="preserve">eas productivas identificadas. </w:t>
      </w:r>
    </w:p>
    <w:p w:rsidR="00AF5DA7" w:rsidRPr="00E00705" w:rsidRDefault="00AF5DA7" w:rsidP="00AF5DA7">
      <w:pPr>
        <w:jc w:val="both"/>
        <w:rPr>
          <w:rFonts w:eastAsia="Times New Roman" w:cstheme="minorHAnsi"/>
          <w:color w:val="000000"/>
          <w:sz w:val="24"/>
          <w:szCs w:val="24"/>
          <w:highlight w:val="yellow"/>
          <w:lang w:eastAsia="es-DO"/>
        </w:rPr>
      </w:pPr>
      <w:r w:rsidRPr="00E00705">
        <w:rPr>
          <w:rFonts w:eastAsia="Times New Roman" w:cstheme="minorHAnsi"/>
          <w:color w:val="000000"/>
          <w:sz w:val="24"/>
          <w:szCs w:val="24"/>
          <w:highlight w:val="yellow"/>
          <w:lang w:eastAsia="es-DO"/>
        </w:rPr>
        <w:t>El ochenta por ciento (80 %) de la capacidad productiva está distribuida de la siguiente manera:</w:t>
      </w:r>
    </w:p>
    <w:p w:rsidR="00AF5DA7" w:rsidRPr="00E00705" w:rsidRDefault="00AF5DA7" w:rsidP="00AF5DA7">
      <w:pPr>
        <w:jc w:val="both"/>
        <w:rPr>
          <w:rFonts w:eastAsia="Times New Roman" w:cstheme="minorHAnsi"/>
          <w:color w:val="000000"/>
          <w:sz w:val="24"/>
          <w:szCs w:val="24"/>
          <w:highlight w:val="yellow"/>
          <w:lang w:eastAsia="es-DO"/>
        </w:rPr>
      </w:pPr>
      <w:r w:rsidRPr="00E00705">
        <w:rPr>
          <w:rFonts w:eastAsia="Times New Roman" w:cstheme="minorHAnsi"/>
          <w:color w:val="000000"/>
          <w:sz w:val="24"/>
          <w:szCs w:val="24"/>
          <w:highlight w:val="yellow"/>
          <w:lang w:eastAsia="es-DO"/>
        </w:rPr>
        <w:t>Capacidad instalada [maquinarias 25 %, proceso de distribución modular 15%, proceso de muestra 5%].</w:t>
      </w:r>
    </w:p>
    <w:p w:rsidR="00AF5DA7" w:rsidRPr="00E00705" w:rsidRDefault="00AF5DA7" w:rsidP="00AF5DA7">
      <w:pPr>
        <w:spacing w:after="0"/>
        <w:jc w:val="both"/>
        <w:rPr>
          <w:rFonts w:eastAsia="Times New Roman" w:cstheme="minorHAnsi"/>
          <w:color w:val="000000"/>
          <w:sz w:val="24"/>
          <w:szCs w:val="24"/>
          <w:highlight w:val="yellow"/>
          <w:lang w:eastAsia="es-DO"/>
        </w:rPr>
      </w:pPr>
      <w:r w:rsidRPr="00E00705">
        <w:rPr>
          <w:rFonts w:eastAsia="Times New Roman" w:cstheme="minorHAnsi"/>
          <w:color w:val="000000"/>
          <w:sz w:val="24"/>
          <w:szCs w:val="24"/>
          <w:highlight w:val="yellow"/>
          <w:lang w:eastAsia="es-DO"/>
        </w:rPr>
        <w:lastRenderedPageBreak/>
        <w:t>Proceso de patrones: 15 %</w:t>
      </w:r>
    </w:p>
    <w:p w:rsidR="00AF5DA7" w:rsidRPr="00E00705" w:rsidRDefault="00AF5DA7" w:rsidP="00AF5DA7">
      <w:pPr>
        <w:spacing w:after="0"/>
        <w:jc w:val="both"/>
        <w:rPr>
          <w:rFonts w:eastAsia="Times New Roman" w:cstheme="minorHAnsi"/>
          <w:color w:val="000000"/>
          <w:sz w:val="24"/>
          <w:szCs w:val="24"/>
          <w:highlight w:val="yellow"/>
          <w:lang w:eastAsia="es-DO"/>
        </w:rPr>
      </w:pPr>
      <w:r w:rsidRPr="00E00705">
        <w:rPr>
          <w:rFonts w:eastAsia="Times New Roman" w:cstheme="minorHAnsi"/>
          <w:color w:val="000000"/>
          <w:sz w:val="24"/>
          <w:szCs w:val="24"/>
          <w:highlight w:val="yellow"/>
          <w:lang w:eastAsia="es-DO"/>
        </w:rPr>
        <w:t>Proceso de Corte: 5 %</w:t>
      </w:r>
    </w:p>
    <w:p w:rsidR="00AF5DA7" w:rsidRPr="00E00705" w:rsidRDefault="00AF5DA7" w:rsidP="00AF5DA7">
      <w:pPr>
        <w:spacing w:after="0"/>
        <w:jc w:val="both"/>
        <w:rPr>
          <w:rFonts w:eastAsia="Times New Roman" w:cstheme="minorHAnsi"/>
          <w:color w:val="000000"/>
          <w:sz w:val="24"/>
          <w:szCs w:val="24"/>
          <w:highlight w:val="yellow"/>
          <w:lang w:eastAsia="es-DO"/>
        </w:rPr>
      </w:pPr>
      <w:r w:rsidRPr="00E00705">
        <w:rPr>
          <w:rFonts w:eastAsia="Times New Roman" w:cstheme="minorHAnsi"/>
          <w:color w:val="000000"/>
          <w:sz w:val="24"/>
          <w:szCs w:val="24"/>
          <w:highlight w:val="yellow"/>
          <w:lang w:eastAsia="es-DO"/>
        </w:rPr>
        <w:t>Proceso de Confección: 10 %</w:t>
      </w:r>
    </w:p>
    <w:p w:rsidR="00AF5DA7" w:rsidRPr="00E00705" w:rsidRDefault="00AF5DA7" w:rsidP="00AF5DA7">
      <w:pPr>
        <w:spacing w:after="0"/>
        <w:jc w:val="both"/>
        <w:rPr>
          <w:rFonts w:eastAsia="Times New Roman" w:cstheme="minorHAnsi"/>
          <w:color w:val="000000"/>
          <w:sz w:val="24"/>
          <w:szCs w:val="24"/>
          <w:highlight w:val="yellow"/>
          <w:lang w:eastAsia="es-DO"/>
        </w:rPr>
      </w:pPr>
      <w:r w:rsidRPr="00E00705">
        <w:rPr>
          <w:rFonts w:eastAsia="Times New Roman" w:cstheme="minorHAnsi"/>
          <w:color w:val="000000"/>
          <w:sz w:val="24"/>
          <w:szCs w:val="24"/>
          <w:highlight w:val="yellow"/>
          <w:lang w:eastAsia="es-DO"/>
        </w:rPr>
        <w:t xml:space="preserve">Proceso de Terminación: 5 % </w:t>
      </w:r>
    </w:p>
    <w:p w:rsidR="00AF5DA7" w:rsidRDefault="00AF5DA7" w:rsidP="00AF5DA7">
      <w:pPr>
        <w:spacing w:after="0"/>
        <w:jc w:val="both"/>
        <w:rPr>
          <w:rFonts w:eastAsia="Times New Roman" w:cstheme="minorHAnsi"/>
          <w:color w:val="000000"/>
          <w:sz w:val="24"/>
          <w:szCs w:val="24"/>
          <w:lang w:eastAsia="es-DO"/>
        </w:rPr>
      </w:pPr>
      <w:r w:rsidRPr="00E00705">
        <w:rPr>
          <w:rFonts w:eastAsia="Times New Roman" w:cstheme="minorHAnsi"/>
          <w:color w:val="000000"/>
          <w:sz w:val="24"/>
          <w:szCs w:val="24"/>
          <w:highlight w:val="yellow"/>
          <w:lang w:eastAsia="es-DO"/>
        </w:rPr>
        <w:t>Proceso de Empaque: 5%</w:t>
      </w:r>
    </w:p>
    <w:p w:rsidR="00AF5DA7" w:rsidRPr="00215CA7" w:rsidRDefault="00AF5DA7" w:rsidP="00AF5DA7">
      <w:pPr>
        <w:spacing w:after="0"/>
        <w:jc w:val="both"/>
        <w:rPr>
          <w:rFonts w:eastAsia="Times New Roman" w:cstheme="minorHAnsi"/>
          <w:color w:val="000000"/>
          <w:sz w:val="24"/>
          <w:szCs w:val="24"/>
          <w:lang w:eastAsia="es-DO"/>
        </w:rPr>
      </w:pPr>
    </w:p>
    <w:p w:rsidR="00AF5DA7" w:rsidRPr="00215CA7" w:rsidRDefault="00AF5DA7" w:rsidP="00AF5DA7">
      <w:pPr>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NOTA:</w:t>
      </w:r>
      <w:r w:rsidRPr="00215CA7">
        <w:rPr>
          <w:rFonts w:eastAsia="Times New Roman" w:cstheme="minorHAnsi"/>
          <w:color w:val="000000"/>
          <w:sz w:val="24"/>
          <w:szCs w:val="24"/>
          <w:lang w:eastAsia="es-DO"/>
        </w:rPr>
        <w:t xml:space="preserve"> Estas informaciones se validarán en la</w:t>
      </w:r>
      <w:r>
        <w:rPr>
          <w:rFonts w:eastAsia="Times New Roman" w:cstheme="minorHAnsi"/>
          <w:color w:val="000000"/>
          <w:sz w:val="24"/>
          <w:szCs w:val="24"/>
          <w:lang w:eastAsia="es-DO"/>
        </w:rPr>
        <w:t xml:space="preserve"> visita técnica a los oferentes</w:t>
      </w:r>
    </w:p>
    <w:p w:rsidR="00AF5DA7" w:rsidRPr="00215CA7" w:rsidRDefault="00AF5DA7" w:rsidP="00AF5D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Experiencia Acumulada en el Sector (EA): Adiciona hasta un 20% a la Capacidad Productiva (CP). </w:t>
      </w:r>
    </w:p>
    <w:p w:rsidR="00AF5DA7" w:rsidRPr="00215CA7" w:rsidRDefault="00AF5DA7" w:rsidP="00AF5D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El acápite cuatro (4) se refiere a la cantidad y calificación del personal. En ese orden el </w:t>
      </w:r>
      <w:r>
        <w:rPr>
          <w:rFonts w:eastAsia="Times New Roman" w:cstheme="minorHAnsi"/>
          <w:color w:val="000000"/>
          <w:sz w:val="24"/>
          <w:szCs w:val="24"/>
          <w:lang w:eastAsia="es-DO"/>
        </w:rPr>
        <w:t>(</w:t>
      </w:r>
      <w:r w:rsidRPr="00215CA7">
        <w:rPr>
          <w:rFonts w:eastAsia="Times New Roman" w:cstheme="minorHAnsi"/>
          <w:color w:val="000000"/>
          <w:sz w:val="24"/>
          <w:szCs w:val="24"/>
          <w:lang w:eastAsia="es-DO"/>
        </w:rPr>
        <w:t>20 %</w:t>
      </w:r>
      <w:r>
        <w:rPr>
          <w:rFonts w:eastAsia="Times New Roman" w:cstheme="minorHAnsi"/>
          <w:color w:val="000000"/>
          <w:sz w:val="24"/>
          <w:szCs w:val="24"/>
          <w:lang w:eastAsia="es-DO"/>
        </w:rPr>
        <w:t>)</w:t>
      </w:r>
      <w:r w:rsidRPr="00215CA7">
        <w:rPr>
          <w:rFonts w:eastAsia="Times New Roman" w:cstheme="minorHAnsi"/>
          <w:color w:val="000000"/>
          <w:sz w:val="24"/>
          <w:szCs w:val="24"/>
          <w:lang w:eastAsia="es-DO"/>
        </w:rPr>
        <w:t xml:space="preserve"> por ciento de la Experiencia (EA) está dist</w:t>
      </w:r>
      <w:r>
        <w:rPr>
          <w:rFonts w:eastAsia="Times New Roman" w:cstheme="minorHAnsi"/>
          <w:color w:val="000000"/>
          <w:sz w:val="24"/>
          <w:szCs w:val="24"/>
          <w:lang w:eastAsia="es-DO"/>
        </w:rPr>
        <w:t>ribuida de la siguiente manera:</w:t>
      </w:r>
    </w:p>
    <w:p w:rsidR="00AF5DA7" w:rsidRPr="00215CA7" w:rsidRDefault="00AF5DA7" w:rsidP="00AF5D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Capacitación del personal: (formación académica, anexar certificados y diplomas) 10%</w:t>
      </w:r>
    </w:p>
    <w:p w:rsidR="00AF5DA7" w:rsidRPr="00215CA7" w:rsidRDefault="00AF5DA7" w:rsidP="00AF5DA7">
      <w:pPr>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Nota:</w:t>
      </w:r>
      <w:r w:rsidRPr="00215CA7">
        <w:rPr>
          <w:rFonts w:eastAsia="Times New Roman" w:cstheme="minorHAnsi"/>
          <w:color w:val="000000"/>
          <w:sz w:val="24"/>
          <w:szCs w:val="24"/>
          <w:lang w:eastAsia="es-DO"/>
        </w:rPr>
        <w:t xml:space="preserve"> En caso de que no presentar la documentación técnica de formación académica, validaremos la experiencia acumu</w:t>
      </w:r>
      <w:r>
        <w:rPr>
          <w:rFonts w:eastAsia="Times New Roman" w:cstheme="minorHAnsi"/>
          <w:color w:val="000000"/>
          <w:sz w:val="24"/>
          <w:szCs w:val="24"/>
          <w:lang w:eastAsia="es-DO"/>
        </w:rPr>
        <w:t>lada durante la visita técnica,</w:t>
      </w:r>
    </w:p>
    <w:p w:rsidR="00AF5DA7" w:rsidRPr="00215CA7" w:rsidRDefault="00AF5DA7" w:rsidP="00AF5D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Supervisión de la producción (Si al momento de la visita técnica se comprueba que tiene un supervisor re</w:t>
      </w:r>
      <w:r>
        <w:rPr>
          <w:rFonts w:eastAsia="Times New Roman" w:cstheme="minorHAnsi"/>
          <w:color w:val="000000"/>
          <w:sz w:val="24"/>
          <w:szCs w:val="24"/>
          <w:lang w:eastAsia="es-DO"/>
        </w:rPr>
        <w:t>sponsable de la producción) 5 %</w:t>
      </w:r>
    </w:p>
    <w:p w:rsidR="00AF5DA7" w:rsidRPr="00215CA7" w:rsidRDefault="00AF5DA7" w:rsidP="00AF5D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Aseguramiento (Control) de la calidad de la producción (Si al momento de la visita técnica se comprueba que tiene un supervisor</w:t>
      </w:r>
      <w:r>
        <w:rPr>
          <w:rFonts w:eastAsia="Times New Roman" w:cstheme="minorHAnsi"/>
          <w:color w:val="000000"/>
          <w:sz w:val="24"/>
          <w:szCs w:val="24"/>
          <w:lang w:eastAsia="es-DO"/>
        </w:rPr>
        <w:t xml:space="preserve"> responsable de la calidad) 5 %</w:t>
      </w:r>
    </w:p>
    <w:p w:rsidR="00AF5DA7" w:rsidRPr="00215CA7" w:rsidRDefault="00AF5DA7" w:rsidP="00AF5D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En función de lo anterior, la capacidad instalada total es calculada por el Instituto Nacional de Bienestar Estudiantil a </w:t>
      </w:r>
      <w:r>
        <w:rPr>
          <w:rFonts w:eastAsia="Times New Roman" w:cstheme="minorHAnsi"/>
          <w:color w:val="000000"/>
          <w:sz w:val="24"/>
          <w:szCs w:val="24"/>
          <w:lang w:eastAsia="es-DO"/>
        </w:rPr>
        <w:t>través de la siguiente fórmula:</w:t>
      </w:r>
    </w:p>
    <w:p w:rsidR="00AF5DA7" w:rsidRPr="00215CA7" w:rsidRDefault="00AF5DA7" w:rsidP="00AF5D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CI = CP + </w:t>
      </w:r>
      <w:r>
        <w:rPr>
          <w:rFonts w:eastAsia="Times New Roman" w:cstheme="minorHAnsi"/>
          <w:color w:val="000000"/>
          <w:sz w:val="24"/>
          <w:szCs w:val="24"/>
          <w:lang w:eastAsia="es-DO"/>
        </w:rPr>
        <w:t>CP * [EA/100] + CP * [Etss/100]</w:t>
      </w:r>
    </w:p>
    <w:p w:rsidR="00AF5DA7" w:rsidRPr="00215CA7" w:rsidRDefault="00AF5DA7" w:rsidP="00AF5DA7">
      <w:pPr>
        <w:jc w:val="both"/>
        <w:rPr>
          <w:rFonts w:eastAsia="Times New Roman" w:cstheme="minorHAnsi"/>
          <w:color w:val="000000"/>
          <w:sz w:val="24"/>
          <w:szCs w:val="24"/>
          <w:lang w:eastAsia="es-DO"/>
        </w:rPr>
      </w:pPr>
      <w:r>
        <w:rPr>
          <w:rFonts w:eastAsia="Times New Roman" w:cstheme="minorHAnsi"/>
          <w:color w:val="000000"/>
          <w:sz w:val="24"/>
          <w:szCs w:val="24"/>
          <w:lang w:eastAsia="es-DO"/>
        </w:rPr>
        <w:t>O lo que es igual:</w:t>
      </w:r>
    </w:p>
    <w:p w:rsidR="00AF5DA7" w:rsidRPr="00215CA7" w:rsidRDefault="00AF5DA7" w:rsidP="00AF5D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CI = C</w:t>
      </w:r>
      <w:r>
        <w:rPr>
          <w:rFonts w:eastAsia="Times New Roman" w:cstheme="minorHAnsi"/>
          <w:color w:val="000000"/>
          <w:sz w:val="24"/>
          <w:szCs w:val="24"/>
          <w:lang w:eastAsia="es-DO"/>
        </w:rPr>
        <w:t>P * {[1 + EA/100] + [Etss/100]}</w:t>
      </w:r>
    </w:p>
    <w:p w:rsidR="00AF5DA7" w:rsidRPr="00E00705" w:rsidRDefault="00AF5DA7" w:rsidP="00AF5D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La Capacidad Productiva se ponderará a partir de las maquinarias y procesos identificados en el formulario de capacidad instalada y verificada en la visita técnica. Esta capacidad productiva se verá limitada por el proceso o maquinaria con menor capacidad de producción, de modo que la capacidad productiva máxima de un oferente será exactamente igual a la capacidad productiva de la maquina</w:t>
      </w:r>
      <w:r>
        <w:rPr>
          <w:rFonts w:eastAsia="Times New Roman" w:cstheme="minorHAnsi"/>
          <w:color w:val="000000"/>
          <w:sz w:val="24"/>
          <w:szCs w:val="24"/>
          <w:lang w:eastAsia="es-DO"/>
        </w:rPr>
        <w:t xml:space="preserve"> o proceso con menor capacidad.</w:t>
      </w:r>
    </w:p>
    <w:p w:rsidR="00AF5DA7" w:rsidRPr="00215CA7" w:rsidRDefault="00AF5DA7" w:rsidP="00AF5DA7">
      <w:pPr>
        <w:jc w:val="both"/>
        <w:rPr>
          <w:rFonts w:eastAsia="Times New Roman" w:cstheme="minorHAnsi"/>
          <w:b/>
          <w:color w:val="000000"/>
          <w:sz w:val="24"/>
          <w:szCs w:val="24"/>
          <w:lang w:eastAsia="es-DO"/>
        </w:rPr>
      </w:pPr>
      <w:r w:rsidRPr="00215CA7">
        <w:rPr>
          <w:rFonts w:eastAsia="Times New Roman" w:cstheme="minorHAnsi"/>
          <w:b/>
          <w:color w:val="000000"/>
          <w:sz w:val="24"/>
          <w:szCs w:val="24"/>
          <w:lang w:eastAsia="es-DO"/>
        </w:rPr>
        <w:t>PREFERENCIA:</w:t>
      </w:r>
    </w:p>
    <w:p w:rsidR="00AF5DA7" w:rsidRPr="00215CA7" w:rsidRDefault="00AF5DA7" w:rsidP="00AF5D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Tendrán la preferencia los oferentes que presenten un mínimo de 5 años de establecidos y en operación, realizando la confección de </w:t>
      </w:r>
      <w:r>
        <w:rPr>
          <w:rFonts w:eastAsia="Times New Roman" w:cstheme="minorHAnsi"/>
          <w:color w:val="000000"/>
          <w:sz w:val="24"/>
          <w:szCs w:val="24"/>
          <w:lang w:eastAsia="es-DO"/>
        </w:rPr>
        <w:t>Zapatos</w:t>
      </w:r>
      <w:r w:rsidRPr="00215CA7">
        <w:rPr>
          <w:rFonts w:eastAsia="Times New Roman" w:cstheme="minorHAnsi"/>
          <w:color w:val="000000"/>
          <w:sz w:val="24"/>
          <w:szCs w:val="24"/>
          <w:lang w:eastAsia="es-DO"/>
        </w:rPr>
        <w:t xml:space="preserve"> u otros bienes similares. Para los fines específicos de la presente licitación la adjudicación se hará por Lotes y todos los bienes deberán cumplir con</w:t>
      </w:r>
      <w:r>
        <w:rPr>
          <w:rFonts w:eastAsia="Times New Roman" w:cstheme="minorHAnsi"/>
          <w:color w:val="000000"/>
          <w:sz w:val="24"/>
          <w:szCs w:val="24"/>
          <w:lang w:eastAsia="es-DO"/>
        </w:rPr>
        <w:t xml:space="preserve"> las especificaciones técnicas.</w:t>
      </w:r>
    </w:p>
    <w:p w:rsidR="00AF5DA7" w:rsidRPr="00215CA7" w:rsidRDefault="00AF5DA7" w:rsidP="00AF5DA7">
      <w:pPr>
        <w:jc w:val="both"/>
        <w:rPr>
          <w:rFonts w:eastAsia="Times New Roman" w:cstheme="minorHAnsi"/>
          <w:color w:val="000000"/>
          <w:sz w:val="24"/>
          <w:szCs w:val="24"/>
          <w:lang w:eastAsia="es-DO"/>
        </w:rPr>
      </w:pPr>
      <w:r w:rsidRPr="002910D3">
        <w:rPr>
          <w:rFonts w:eastAsia="Times New Roman" w:cstheme="minorHAnsi"/>
          <w:b/>
          <w:color w:val="000000"/>
          <w:sz w:val="24"/>
          <w:szCs w:val="24"/>
          <w:lang w:eastAsia="es-DO"/>
        </w:rPr>
        <w:t>Párrafo 1</w:t>
      </w:r>
      <w:r w:rsidRPr="00215CA7">
        <w:rPr>
          <w:rFonts w:eastAsia="Times New Roman" w:cstheme="minorHAnsi"/>
          <w:color w:val="000000"/>
          <w:sz w:val="24"/>
          <w:szCs w:val="24"/>
          <w:lang w:eastAsia="es-DO"/>
        </w:rPr>
        <w:t>: Si se presentase una sola Oferta, ella deberá ser considerada y se procederá a la Adjudicación, si habiendo cumplido con lo exigido en el Pliego de Condiciones Específicas, se le considera conveniente a l</w:t>
      </w:r>
      <w:r>
        <w:rPr>
          <w:rFonts w:eastAsia="Times New Roman" w:cstheme="minorHAnsi"/>
          <w:color w:val="000000"/>
          <w:sz w:val="24"/>
          <w:szCs w:val="24"/>
          <w:lang w:eastAsia="es-DO"/>
        </w:rPr>
        <w:t>os intereses de la Institución.</w:t>
      </w:r>
    </w:p>
    <w:p w:rsidR="00AF5DA7" w:rsidRPr="00215CA7" w:rsidRDefault="00AF5DA7" w:rsidP="00AF5DA7">
      <w:pPr>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lastRenderedPageBreak/>
        <w:t>Párrafo 2:</w:t>
      </w:r>
      <w:r w:rsidRPr="00215CA7">
        <w:rPr>
          <w:rFonts w:eastAsia="Times New Roman" w:cstheme="minorHAnsi"/>
          <w:color w:val="000000"/>
          <w:sz w:val="24"/>
          <w:szCs w:val="24"/>
          <w:lang w:eastAsia="es-DO"/>
        </w:rPr>
        <w:t xml:space="preserve"> A los fines de garantizar mayor oportunidad a los oferentes participantes, queda limitada la cantidad máxima de Lotes a adjudicar en este procedimiento a un (1) Lote por Oferente. En caso de no contar con suficientes oferentes habilitados, el INABIE procederá a adjudicar más de un Lote a los oferentes habilitados que lo hayan ofertado en función de la </w:t>
      </w:r>
      <w:r>
        <w:rPr>
          <w:rFonts w:eastAsia="Times New Roman" w:cstheme="minorHAnsi"/>
          <w:color w:val="000000"/>
          <w:sz w:val="24"/>
          <w:szCs w:val="24"/>
          <w:lang w:eastAsia="es-DO"/>
        </w:rPr>
        <w:t>capacidad instalada demostrada.</w:t>
      </w:r>
    </w:p>
    <w:p w:rsidR="00AF5DA7" w:rsidRPr="006000F9" w:rsidRDefault="00AF5DA7" w:rsidP="00AF5DA7">
      <w:pPr>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Párrafo 3:</w:t>
      </w:r>
      <w:r w:rsidRPr="00215CA7">
        <w:rPr>
          <w:rFonts w:eastAsia="Times New Roman" w:cstheme="minorHAnsi"/>
          <w:color w:val="000000"/>
          <w:sz w:val="24"/>
          <w:szCs w:val="24"/>
          <w:lang w:eastAsia="es-DO"/>
        </w:rPr>
        <w:t xml:space="preserve"> 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 </w:t>
      </w:r>
      <w:r w:rsidRPr="00E00705">
        <w:rPr>
          <w:rFonts w:eastAsia="Times New Roman" w:cstheme="minorHAnsi"/>
          <w:color w:val="000000"/>
          <w:sz w:val="24"/>
          <w:szCs w:val="24"/>
          <w:highlight w:val="yellow"/>
          <w:lang w:eastAsia="es-DO"/>
        </w:rPr>
        <w:t>En adicción a estas informaciones las empresas deberán tener una capacidad mínima de seis (6) a ocho (8) máquina correspondiente al proceso licitado. Dentro de las cuales deben estar incluidas las maquinarias exigida en el pliego de condiciones del Instituto nacional de Bienestar Estudiantil (INABIE). Las cuáles serán validadas y probadas en la visita técnica para comprobar que están funcionando y que están apta condiciones productivas.</w:t>
      </w:r>
    </w:p>
    <w:p w:rsidR="00AF5DA7" w:rsidRPr="00215CA7" w:rsidRDefault="00AF5DA7" w:rsidP="00AF5DA7">
      <w:pPr>
        <w:pStyle w:val="ListParagraph"/>
        <w:numPr>
          <w:ilvl w:val="0"/>
          <w:numId w:val="2"/>
        </w:numPr>
        <w:ind w:left="0" w:firstLine="0"/>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 xml:space="preserve">Se modifica: </w:t>
      </w:r>
      <w:r w:rsidRPr="00215CA7">
        <w:rPr>
          <w:rFonts w:eastAsia="Times New Roman" w:cstheme="minorHAnsi"/>
          <w:color w:val="000000"/>
          <w:sz w:val="24"/>
          <w:szCs w:val="24"/>
          <w:lang w:eastAsia="es-DO"/>
        </w:rPr>
        <w:t>El numeral 1.19, sobre Subsanaciones, a partir del tercer párrafo, que en lo adelante, dirá de la forma siguiente:</w:t>
      </w:r>
    </w:p>
    <w:p w:rsidR="00AF5DA7" w:rsidRPr="009A7742" w:rsidRDefault="00AF5DA7" w:rsidP="00AF5DA7">
      <w:pPr>
        <w:spacing w:after="0" w:line="240" w:lineRule="auto"/>
        <w:jc w:val="both"/>
        <w:rPr>
          <w:rFonts w:eastAsia="Times New Roman" w:cstheme="minorHAnsi"/>
          <w:b/>
          <w:color w:val="FF0000"/>
          <w:sz w:val="24"/>
          <w:szCs w:val="24"/>
          <w:lang w:eastAsia="es-ES"/>
        </w:rPr>
      </w:pPr>
      <w:r w:rsidRPr="009A7742">
        <w:rPr>
          <w:rFonts w:eastAsia="Times New Roman" w:cstheme="minorHAnsi"/>
          <w:b/>
          <w:sz w:val="24"/>
          <w:szCs w:val="24"/>
          <w:lang w:eastAsia="es-ES"/>
        </w:rPr>
        <w:t>PARRAFO III:</w:t>
      </w:r>
      <w:r w:rsidRPr="009A7742">
        <w:rPr>
          <w:rFonts w:eastAsia="Times New Roman" w:cstheme="minorHAnsi"/>
          <w:sz w:val="24"/>
          <w:szCs w:val="24"/>
          <w:lang w:eastAsia="es-ES"/>
        </w:rPr>
        <w:t xml:space="preserve"> </w:t>
      </w:r>
      <w:r w:rsidRPr="009A7742">
        <w:rPr>
          <w:rFonts w:eastAsia="Times New Roman" w:cstheme="minorHAnsi"/>
          <w:b/>
          <w:sz w:val="24"/>
          <w:szCs w:val="24"/>
          <w:u w:val="single"/>
          <w:lang w:eastAsia="es-ES"/>
        </w:rPr>
        <w:t>NO SE PERMITE LA SUBSANACIÓN DE LAS MUESTRAS.</w:t>
      </w:r>
    </w:p>
    <w:p w:rsidR="00AF5DA7" w:rsidRPr="009A7742" w:rsidRDefault="00AF5DA7" w:rsidP="00AF5DA7">
      <w:pPr>
        <w:widowControl w:val="0"/>
        <w:autoSpaceDE w:val="0"/>
        <w:autoSpaceDN w:val="0"/>
        <w:adjustRightInd w:val="0"/>
        <w:spacing w:after="0" w:line="240" w:lineRule="auto"/>
        <w:jc w:val="both"/>
        <w:rPr>
          <w:rFonts w:eastAsia="Times New Roman" w:cstheme="minorHAnsi"/>
          <w:b/>
          <w:bCs/>
          <w:sz w:val="24"/>
          <w:szCs w:val="24"/>
          <w:lang w:eastAsia="es-ES"/>
        </w:rPr>
      </w:pPr>
    </w:p>
    <w:p w:rsidR="00AF5DA7" w:rsidRPr="009A7742" w:rsidRDefault="00AF5DA7" w:rsidP="00AF5DA7">
      <w:pPr>
        <w:widowControl w:val="0"/>
        <w:autoSpaceDE w:val="0"/>
        <w:autoSpaceDN w:val="0"/>
        <w:adjustRightInd w:val="0"/>
        <w:spacing w:after="0" w:line="240" w:lineRule="auto"/>
        <w:jc w:val="both"/>
        <w:rPr>
          <w:rFonts w:eastAsia="MingLiU" w:cstheme="minorHAnsi"/>
          <w:b/>
          <w:bCs/>
          <w:sz w:val="24"/>
          <w:szCs w:val="24"/>
          <w:lang w:eastAsia="es-ES"/>
        </w:rPr>
      </w:pPr>
      <w:r w:rsidRPr="009A7742">
        <w:rPr>
          <w:rFonts w:eastAsia="Times New Roman" w:cstheme="minorHAnsi"/>
          <w:b/>
          <w:bCs/>
          <w:sz w:val="24"/>
          <w:szCs w:val="24"/>
          <w:lang w:eastAsia="es-ES"/>
        </w:rPr>
        <w:t xml:space="preserve">De manera que, los documentos y aspectos No Subsanables para este Pliego de Condiciones Específicas son los siguientes: </w:t>
      </w:r>
    </w:p>
    <w:p w:rsidR="00AF5DA7" w:rsidRPr="009A7742" w:rsidRDefault="00AF5DA7" w:rsidP="00AF5DA7">
      <w:pPr>
        <w:widowControl w:val="0"/>
        <w:autoSpaceDE w:val="0"/>
        <w:autoSpaceDN w:val="0"/>
        <w:adjustRightInd w:val="0"/>
        <w:spacing w:after="0" w:line="240" w:lineRule="auto"/>
        <w:jc w:val="both"/>
        <w:rPr>
          <w:rFonts w:eastAsia="Times New Roman" w:cstheme="minorHAnsi"/>
          <w:bCs/>
          <w:sz w:val="24"/>
          <w:szCs w:val="24"/>
          <w:lang w:eastAsia="es-ES"/>
        </w:rPr>
      </w:pPr>
    </w:p>
    <w:p w:rsidR="00AF5DA7" w:rsidRPr="009A7742" w:rsidRDefault="00AF5DA7" w:rsidP="00AF5DA7">
      <w:pPr>
        <w:widowControl w:val="0"/>
        <w:numPr>
          <w:ilvl w:val="0"/>
          <w:numId w:val="4"/>
        </w:numPr>
        <w:overflowPunct w:val="0"/>
        <w:autoSpaceDE w:val="0"/>
        <w:autoSpaceDN w:val="0"/>
        <w:adjustRightInd w:val="0"/>
        <w:spacing w:after="0" w:line="240" w:lineRule="auto"/>
        <w:ind w:left="426"/>
        <w:jc w:val="both"/>
        <w:rPr>
          <w:rFonts w:eastAsia="Times New Roman" w:cstheme="minorHAnsi"/>
          <w:sz w:val="24"/>
          <w:szCs w:val="24"/>
          <w:lang w:eastAsia="es-ES"/>
        </w:rPr>
      </w:pPr>
      <w:r w:rsidRPr="009A7742">
        <w:rPr>
          <w:rFonts w:eastAsia="Times New Roman" w:cstheme="minorHAnsi"/>
          <w:b/>
          <w:sz w:val="24"/>
          <w:szCs w:val="24"/>
          <w:lang w:eastAsia="es-ES"/>
        </w:rPr>
        <w:t>Documentos y aspectos No subsanables dentro de la Oferta Técnica “Sobre A”:</w:t>
      </w:r>
      <w:r w:rsidRPr="009A7742">
        <w:rPr>
          <w:rFonts w:eastAsia="Times New Roman" w:cstheme="minorHAnsi"/>
          <w:sz w:val="24"/>
          <w:szCs w:val="24"/>
          <w:lang w:eastAsia="es-ES"/>
        </w:rPr>
        <w:t xml:space="preserve"> </w:t>
      </w:r>
    </w:p>
    <w:p w:rsidR="00AF5DA7" w:rsidRPr="009A7742" w:rsidRDefault="00AF5DA7" w:rsidP="00AF5DA7">
      <w:pPr>
        <w:widowControl w:val="0"/>
        <w:overflowPunct w:val="0"/>
        <w:autoSpaceDE w:val="0"/>
        <w:autoSpaceDN w:val="0"/>
        <w:adjustRightInd w:val="0"/>
        <w:spacing w:after="0" w:line="240" w:lineRule="auto"/>
        <w:ind w:left="426"/>
        <w:jc w:val="both"/>
        <w:rPr>
          <w:rFonts w:eastAsia="Times New Roman" w:cstheme="minorHAnsi"/>
          <w:sz w:val="24"/>
          <w:szCs w:val="24"/>
          <w:lang w:eastAsia="es-ES"/>
        </w:rPr>
      </w:pPr>
    </w:p>
    <w:p w:rsidR="00AF5DA7" w:rsidRPr="009A7742" w:rsidRDefault="00AF5DA7" w:rsidP="00AF5DA7">
      <w:pPr>
        <w:widowControl w:val="0"/>
        <w:autoSpaceDE w:val="0"/>
        <w:autoSpaceDN w:val="0"/>
        <w:adjustRightInd w:val="0"/>
        <w:spacing w:after="0" w:line="64" w:lineRule="exact"/>
        <w:ind w:left="426" w:hanging="282"/>
        <w:jc w:val="both"/>
        <w:rPr>
          <w:rFonts w:eastAsia="Times New Roman" w:cstheme="minorHAnsi"/>
          <w:sz w:val="24"/>
          <w:szCs w:val="24"/>
          <w:lang w:eastAsia="es-ES"/>
        </w:rPr>
      </w:pPr>
    </w:p>
    <w:p w:rsidR="00AF5DA7" w:rsidRPr="009A7742" w:rsidRDefault="00AF5DA7" w:rsidP="00AF5DA7">
      <w:pPr>
        <w:widowControl w:val="0"/>
        <w:overflowPunct w:val="0"/>
        <w:autoSpaceDE w:val="0"/>
        <w:autoSpaceDN w:val="0"/>
        <w:adjustRightInd w:val="0"/>
        <w:spacing w:after="0" w:line="218" w:lineRule="auto"/>
        <w:ind w:left="426" w:right="340"/>
        <w:jc w:val="both"/>
        <w:rPr>
          <w:rFonts w:eastAsia="Times New Roman" w:cstheme="minorHAnsi"/>
          <w:sz w:val="24"/>
          <w:szCs w:val="24"/>
          <w:lang w:eastAsia="es-ES"/>
        </w:rPr>
      </w:pPr>
      <w:r w:rsidRPr="009A7742">
        <w:rPr>
          <w:rFonts w:eastAsia="Times New Roman" w:cstheme="minorHAnsi"/>
          <w:sz w:val="24"/>
          <w:szCs w:val="24"/>
          <w:lang w:eastAsia="es-ES"/>
        </w:rPr>
        <w:t>- La no presentación de los Formularios de Capacidad Instalada o la existencia de este sin</w:t>
      </w:r>
      <w:r w:rsidRPr="006000F9">
        <w:rPr>
          <w:rFonts w:eastAsia="Times New Roman" w:cstheme="minorHAnsi"/>
          <w:sz w:val="24"/>
          <w:szCs w:val="24"/>
          <w:lang w:eastAsia="es-ES"/>
        </w:rPr>
        <w:t xml:space="preserve"> el desglose de las maquinarias</w:t>
      </w:r>
      <w:r w:rsidRPr="009A7742">
        <w:rPr>
          <w:rFonts w:eastAsia="Times New Roman" w:cstheme="minorHAnsi"/>
          <w:sz w:val="24"/>
          <w:szCs w:val="24"/>
          <w:lang w:eastAsia="es-ES"/>
        </w:rPr>
        <w:t xml:space="preserve">. </w:t>
      </w:r>
    </w:p>
    <w:p w:rsidR="00AF5DA7" w:rsidRPr="009A7742" w:rsidRDefault="00AF5DA7" w:rsidP="00AF5DA7">
      <w:pPr>
        <w:widowControl w:val="0"/>
        <w:autoSpaceDE w:val="0"/>
        <w:autoSpaceDN w:val="0"/>
        <w:adjustRightInd w:val="0"/>
        <w:spacing w:after="0" w:line="240" w:lineRule="auto"/>
        <w:ind w:left="426"/>
        <w:jc w:val="both"/>
        <w:rPr>
          <w:rFonts w:eastAsia="Times New Roman" w:cstheme="minorHAnsi"/>
          <w:sz w:val="24"/>
          <w:szCs w:val="24"/>
          <w:lang w:eastAsia="es-ES"/>
        </w:rPr>
      </w:pPr>
    </w:p>
    <w:p w:rsidR="00AF5DA7" w:rsidRPr="009A7742" w:rsidRDefault="00AF5DA7" w:rsidP="00AF5DA7">
      <w:pPr>
        <w:widowControl w:val="0"/>
        <w:autoSpaceDE w:val="0"/>
        <w:autoSpaceDN w:val="0"/>
        <w:adjustRightInd w:val="0"/>
        <w:spacing w:after="0" w:line="44" w:lineRule="exact"/>
        <w:ind w:left="426"/>
        <w:jc w:val="both"/>
        <w:rPr>
          <w:rFonts w:eastAsia="Times New Roman" w:cstheme="minorHAnsi"/>
          <w:sz w:val="24"/>
          <w:szCs w:val="24"/>
          <w:lang w:eastAsia="es-ES"/>
        </w:rPr>
      </w:pPr>
    </w:p>
    <w:p w:rsidR="00AF5DA7" w:rsidRPr="009A7742" w:rsidRDefault="00AF5DA7" w:rsidP="00AF5DA7">
      <w:pPr>
        <w:widowControl w:val="0"/>
        <w:numPr>
          <w:ilvl w:val="0"/>
          <w:numId w:val="4"/>
        </w:numPr>
        <w:tabs>
          <w:tab w:val="left" w:pos="567"/>
        </w:tabs>
        <w:overflowPunct w:val="0"/>
        <w:autoSpaceDE w:val="0"/>
        <w:autoSpaceDN w:val="0"/>
        <w:adjustRightInd w:val="0"/>
        <w:spacing w:after="0" w:line="240" w:lineRule="auto"/>
        <w:ind w:left="426"/>
        <w:jc w:val="both"/>
        <w:rPr>
          <w:rFonts w:eastAsia="Times New Roman" w:cstheme="minorHAnsi"/>
          <w:b/>
          <w:sz w:val="24"/>
          <w:szCs w:val="24"/>
          <w:lang w:eastAsia="es-ES"/>
        </w:rPr>
      </w:pPr>
      <w:r w:rsidRPr="009A7742">
        <w:rPr>
          <w:rFonts w:eastAsia="Times New Roman" w:cstheme="minorHAnsi"/>
          <w:b/>
          <w:sz w:val="24"/>
          <w:szCs w:val="24"/>
          <w:lang w:eastAsia="es-ES"/>
        </w:rPr>
        <w:t>Documentos y aspectos No subsanables</w:t>
      </w:r>
      <w:r w:rsidRPr="009A7742">
        <w:rPr>
          <w:rFonts w:eastAsia="Times New Roman" w:cstheme="minorHAnsi"/>
          <w:b/>
          <w:color w:val="FF0000"/>
          <w:sz w:val="24"/>
          <w:szCs w:val="24"/>
          <w:lang w:eastAsia="es-ES"/>
        </w:rPr>
        <w:t xml:space="preserve"> </w:t>
      </w:r>
      <w:r w:rsidRPr="009A7742">
        <w:rPr>
          <w:rFonts w:eastAsia="Times New Roman" w:cstheme="minorHAnsi"/>
          <w:b/>
          <w:sz w:val="24"/>
          <w:szCs w:val="24"/>
          <w:lang w:eastAsia="es-ES"/>
        </w:rPr>
        <w:t>incluidos en el Oferta Económica “Sobre B”:</w:t>
      </w:r>
    </w:p>
    <w:p w:rsidR="00AF5DA7" w:rsidRPr="009A7742" w:rsidRDefault="00AF5DA7" w:rsidP="00AF5DA7">
      <w:pPr>
        <w:widowControl w:val="0"/>
        <w:tabs>
          <w:tab w:val="left" w:pos="567"/>
        </w:tabs>
        <w:overflowPunct w:val="0"/>
        <w:autoSpaceDE w:val="0"/>
        <w:autoSpaceDN w:val="0"/>
        <w:adjustRightInd w:val="0"/>
        <w:spacing w:after="0" w:line="240" w:lineRule="auto"/>
        <w:ind w:left="426"/>
        <w:jc w:val="both"/>
        <w:rPr>
          <w:rFonts w:eastAsia="Times New Roman" w:cstheme="minorHAnsi"/>
          <w:b/>
          <w:sz w:val="24"/>
          <w:szCs w:val="24"/>
          <w:lang w:eastAsia="es-ES"/>
        </w:rPr>
      </w:pPr>
    </w:p>
    <w:p w:rsidR="00AF5DA7" w:rsidRDefault="00AF5DA7" w:rsidP="00AF5DA7">
      <w:pPr>
        <w:widowControl w:val="0"/>
        <w:tabs>
          <w:tab w:val="left" w:pos="567"/>
        </w:tabs>
        <w:overflowPunct w:val="0"/>
        <w:autoSpaceDE w:val="0"/>
        <w:autoSpaceDN w:val="0"/>
        <w:adjustRightInd w:val="0"/>
        <w:spacing w:after="0" w:line="240" w:lineRule="auto"/>
        <w:ind w:left="426"/>
        <w:jc w:val="both"/>
        <w:rPr>
          <w:rFonts w:eastAsia="Times New Roman" w:cstheme="minorHAnsi"/>
          <w:sz w:val="24"/>
          <w:szCs w:val="24"/>
          <w:lang w:eastAsia="es-ES"/>
        </w:rPr>
      </w:pPr>
      <w:r w:rsidRPr="009A7742">
        <w:rPr>
          <w:rFonts w:eastAsia="Times New Roman" w:cstheme="minorHAnsi"/>
          <w:sz w:val="24"/>
          <w:szCs w:val="24"/>
          <w:lang w:eastAsia="es-ES"/>
        </w:rPr>
        <w:t xml:space="preserve">- La no presentación de la Garantía de Seriedad de Oferta o la presentación de esta con: 1)  Insuficiencia del valor de la Garantía de Seriedad de Oferta; y/o 2) Carencia del tiempo o periodo de vigencia de Garantía de Seriedad de Oferta. </w:t>
      </w:r>
    </w:p>
    <w:p w:rsidR="00AF5DA7" w:rsidRPr="009A7742" w:rsidRDefault="00AF5DA7" w:rsidP="00AF5DA7">
      <w:pPr>
        <w:widowControl w:val="0"/>
        <w:tabs>
          <w:tab w:val="left" w:pos="567"/>
        </w:tabs>
        <w:overflowPunct w:val="0"/>
        <w:autoSpaceDE w:val="0"/>
        <w:autoSpaceDN w:val="0"/>
        <w:adjustRightInd w:val="0"/>
        <w:spacing w:after="0" w:line="240" w:lineRule="auto"/>
        <w:ind w:left="426"/>
        <w:jc w:val="both"/>
        <w:rPr>
          <w:rFonts w:eastAsia="Times New Roman" w:cstheme="minorHAnsi"/>
          <w:sz w:val="24"/>
          <w:szCs w:val="24"/>
          <w:lang w:eastAsia="es-ES"/>
        </w:rPr>
      </w:pPr>
    </w:p>
    <w:p w:rsidR="00AF5DA7" w:rsidRPr="009A7742" w:rsidRDefault="00AF5DA7" w:rsidP="00AF5DA7">
      <w:pPr>
        <w:widowControl w:val="0"/>
        <w:overflowPunct w:val="0"/>
        <w:autoSpaceDE w:val="0"/>
        <w:autoSpaceDN w:val="0"/>
        <w:adjustRightInd w:val="0"/>
        <w:spacing w:after="0" w:line="240" w:lineRule="auto"/>
        <w:ind w:left="426"/>
        <w:jc w:val="both"/>
        <w:rPr>
          <w:rFonts w:eastAsia="Times New Roman" w:cstheme="minorHAnsi"/>
          <w:sz w:val="24"/>
          <w:szCs w:val="24"/>
          <w:lang w:eastAsia="es-ES"/>
        </w:rPr>
      </w:pPr>
    </w:p>
    <w:p w:rsidR="00AF5DA7" w:rsidRPr="00215CA7" w:rsidRDefault="00AF5DA7" w:rsidP="00AF5DA7">
      <w:pPr>
        <w:widowControl w:val="0"/>
        <w:numPr>
          <w:ilvl w:val="0"/>
          <w:numId w:val="4"/>
        </w:numPr>
        <w:overflowPunct w:val="0"/>
        <w:autoSpaceDE w:val="0"/>
        <w:autoSpaceDN w:val="0"/>
        <w:adjustRightInd w:val="0"/>
        <w:spacing w:after="0" w:line="218" w:lineRule="auto"/>
        <w:ind w:left="426" w:right="340"/>
        <w:jc w:val="both"/>
        <w:rPr>
          <w:rFonts w:eastAsia="Times New Roman" w:cstheme="minorHAnsi"/>
          <w:sz w:val="24"/>
          <w:szCs w:val="24"/>
          <w:lang w:eastAsia="es-ES"/>
        </w:rPr>
      </w:pPr>
      <w:r w:rsidRPr="009A7742">
        <w:rPr>
          <w:rFonts w:eastAsia="Times New Roman" w:cstheme="minorHAnsi"/>
          <w:sz w:val="24"/>
          <w:szCs w:val="24"/>
          <w:lang w:eastAsia="es-ES"/>
        </w:rPr>
        <w:t>La no presentación de muestras o la presentación de estas sin cumplir con las especificaciones establecidas en la ficha técnica de este Pl</w:t>
      </w:r>
      <w:r w:rsidRPr="00215CA7">
        <w:rPr>
          <w:rFonts w:eastAsia="Times New Roman" w:cstheme="minorHAnsi"/>
          <w:sz w:val="24"/>
          <w:szCs w:val="24"/>
          <w:lang w:eastAsia="es-ES"/>
        </w:rPr>
        <w:t>iego de Condiciones Específicas.</w:t>
      </w:r>
    </w:p>
    <w:p w:rsidR="00AF5DA7" w:rsidRDefault="00AF5DA7" w:rsidP="00AF5DA7">
      <w:pPr>
        <w:widowControl w:val="0"/>
        <w:overflowPunct w:val="0"/>
        <w:autoSpaceDE w:val="0"/>
        <w:autoSpaceDN w:val="0"/>
        <w:adjustRightInd w:val="0"/>
        <w:spacing w:after="0" w:line="218" w:lineRule="auto"/>
        <w:ind w:right="340"/>
        <w:jc w:val="both"/>
        <w:rPr>
          <w:rFonts w:eastAsia="Times New Roman" w:cstheme="minorHAnsi"/>
          <w:b/>
          <w:sz w:val="24"/>
          <w:szCs w:val="24"/>
          <w:lang w:eastAsia="es-ES"/>
        </w:rPr>
      </w:pPr>
    </w:p>
    <w:p w:rsidR="00E00705" w:rsidRPr="00E00705" w:rsidRDefault="00AF5DA7" w:rsidP="00E00705">
      <w:pPr>
        <w:pStyle w:val="ListParagraph"/>
        <w:widowControl w:val="0"/>
        <w:numPr>
          <w:ilvl w:val="0"/>
          <w:numId w:val="2"/>
        </w:numPr>
        <w:overflowPunct w:val="0"/>
        <w:autoSpaceDE w:val="0"/>
        <w:autoSpaceDN w:val="0"/>
        <w:adjustRightInd w:val="0"/>
        <w:spacing w:after="0" w:line="218" w:lineRule="auto"/>
        <w:ind w:left="0" w:right="340" w:firstLine="0"/>
        <w:jc w:val="both"/>
        <w:rPr>
          <w:rFonts w:eastAsia="Times New Roman" w:cstheme="minorHAnsi"/>
          <w:b/>
          <w:sz w:val="24"/>
          <w:szCs w:val="24"/>
          <w:lang w:eastAsia="es-ES"/>
        </w:rPr>
      </w:pPr>
      <w:r>
        <w:rPr>
          <w:rFonts w:eastAsia="Times New Roman" w:cstheme="minorHAnsi"/>
          <w:b/>
          <w:sz w:val="24"/>
          <w:szCs w:val="24"/>
          <w:lang w:eastAsia="es-ES"/>
        </w:rPr>
        <w:t xml:space="preserve">Se adiciona: </w:t>
      </w:r>
      <w:r w:rsidRPr="00367BF8">
        <w:rPr>
          <w:rFonts w:eastAsia="Times New Roman" w:cstheme="minorHAnsi"/>
          <w:sz w:val="24"/>
          <w:szCs w:val="24"/>
          <w:lang w:eastAsia="es-ES"/>
        </w:rPr>
        <w:t>En Anexos.</w:t>
      </w:r>
      <w:r>
        <w:rPr>
          <w:rFonts w:eastAsia="Times New Roman" w:cstheme="minorHAnsi"/>
          <w:b/>
          <w:sz w:val="24"/>
          <w:szCs w:val="24"/>
          <w:lang w:eastAsia="es-ES"/>
        </w:rPr>
        <w:t xml:space="preserve"> </w:t>
      </w:r>
    </w:p>
    <w:p w:rsidR="00AF5DA7" w:rsidRDefault="00AF5DA7" w:rsidP="00AF5DA7">
      <w:pPr>
        <w:pStyle w:val="ListParagraph"/>
        <w:widowControl w:val="0"/>
        <w:overflowPunct w:val="0"/>
        <w:autoSpaceDE w:val="0"/>
        <w:autoSpaceDN w:val="0"/>
        <w:adjustRightInd w:val="0"/>
        <w:spacing w:after="0" w:line="218" w:lineRule="auto"/>
        <w:ind w:left="0" w:right="340"/>
        <w:jc w:val="both"/>
        <w:rPr>
          <w:rFonts w:eastAsia="Times New Roman" w:cstheme="minorHAnsi"/>
          <w:b/>
          <w:sz w:val="24"/>
          <w:szCs w:val="24"/>
          <w:lang w:eastAsia="es-ES"/>
        </w:rPr>
      </w:pPr>
    </w:p>
    <w:p w:rsidR="00757EA5" w:rsidRPr="00BB5248" w:rsidRDefault="00AD5087" w:rsidP="00AF5DA7">
      <w:pPr>
        <w:jc w:val="both"/>
        <w:rPr>
          <w:rFonts w:eastAsia="Times New Roman" w:cstheme="minorHAnsi"/>
          <w:color w:val="000000"/>
          <w:sz w:val="24"/>
          <w:szCs w:val="24"/>
          <w:lang w:eastAsia="es-DO"/>
        </w:rPr>
      </w:pPr>
      <w:r>
        <w:rPr>
          <w:rFonts w:eastAsia="Times New Roman" w:cstheme="minorHAnsi"/>
          <w:b/>
          <w:sz w:val="24"/>
          <w:szCs w:val="24"/>
          <w:lang w:eastAsia="es-ES"/>
        </w:rPr>
        <w:t>Anexo 9</w:t>
      </w:r>
      <w:r w:rsidR="00AF5DA7" w:rsidRPr="00795A60">
        <w:rPr>
          <w:rFonts w:eastAsia="Times New Roman" w:cstheme="minorHAnsi"/>
          <w:b/>
          <w:sz w:val="24"/>
          <w:szCs w:val="24"/>
          <w:lang w:eastAsia="es-ES"/>
        </w:rPr>
        <w:t>: Borrador de contrato.</w:t>
      </w:r>
      <w:bookmarkStart w:id="2" w:name="_GoBack"/>
      <w:bookmarkEnd w:id="2"/>
    </w:p>
    <w:p w:rsidR="00653539" w:rsidRDefault="00653539"/>
    <w:sectPr w:rsidR="0065353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8C6" w:rsidRDefault="006F18C6" w:rsidP="0023704B">
      <w:pPr>
        <w:spacing w:after="0" w:line="240" w:lineRule="auto"/>
      </w:pPr>
      <w:r>
        <w:separator/>
      </w:r>
    </w:p>
  </w:endnote>
  <w:endnote w:type="continuationSeparator" w:id="0">
    <w:p w:rsidR="006F18C6" w:rsidRDefault="006F18C6" w:rsidP="00237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8C6" w:rsidRDefault="006F18C6" w:rsidP="0023704B">
      <w:pPr>
        <w:spacing w:after="0" w:line="240" w:lineRule="auto"/>
      </w:pPr>
      <w:r>
        <w:separator/>
      </w:r>
    </w:p>
  </w:footnote>
  <w:footnote w:type="continuationSeparator" w:id="0">
    <w:p w:rsidR="006F18C6" w:rsidRDefault="006F18C6" w:rsidP="002370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A653D9"/>
    <w:multiLevelType w:val="hybridMultilevel"/>
    <w:tmpl w:val="63A65A2A"/>
    <w:lvl w:ilvl="0" w:tplc="1C449CF8">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13BE1087"/>
    <w:multiLevelType w:val="hybridMultilevel"/>
    <w:tmpl w:val="3DFECCB4"/>
    <w:lvl w:ilvl="0" w:tplc="A57E405A">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A5"/>
    <w:rsid w:val="001B4237"/>
    <w:rsid w:val="00222AD1"/>
    <w:rsid w:val="0023704B"/>
    <w:rsid w:val="002910D3"/>
    <w:rsid w:val="00653539"/>
    <w:rsid w:val="006F18C6"/>
    <w:rsid w:val="00757EA5"/>
    <w:rsid w:val="00AB67B3"/>
    <w:rsid w:val="00AD5087"/>
    <w:rsid w:val="00AF5DA7"/>
    <w:rsid w:val="00B273D5"/>
    <w:rsid w:val="00BB500A"/>
    <w:rsid w:val="00BB5248"/>
    <w:rsid w:val="00CD0CFD"/>
    <w:rsid w:val="00D22C90"/>
    <w:rsid w:val="00D517E6"/>
    <w:rsid w:val="00E00705"/>
    <w:rsid w:val="00ED03D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7300C-E551-4691-BA88-F9165448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EA5"/>
    <w:pPr>
      <w:ind w:left="720"/>
      <w:contextualSpacing/>
    </w:pPr>
  </w:style>
  <w:style w:type="paragraph" w:styleId="NormalWeb">
    <w:name w:val="Normal (Web)"/>
    <w:basedOn w:val="Normal"/>
    <w:uiPriority w:val="99"/>
    <w:unhideWhenUsed/>
    <w:rsid w:val="00757EA5"/>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styleId="CommentText">
    <w:name w:val="annotation text"/>
    <w:basedOn w:val="Normal"/>
    <w:link w:val="CommentTextChar"/>
    <w:uiPriority w:val="99"/>
    <w:semiHidden/>
    <w:unhideWhenUsed/>
    <w:rsid w:val="00CD0CFD"/>
    <w:pPr>
      <w:spacing w:line="240" w:lineRule="auto"/>
    </w:pPr>
    <w:rPr>
      <w:sz w:val="20"/>
      <w:szCs w:val="20"/>
    </w:rPr>
  </w:style>
  <w:style w:type="character" w:customStyle="1" w:styleId="CommentTextChar">
    <w:name w:val="Comment Text Char"/>
    <w:basedOn w:val="DefaultParagraphFont"/>
    <w:link w:val="CommentText"/>
    <w:uiPriority w:val="99"/>
    <w:semiHidden/>
    <w:rsid w:val="00CD0CFD"/>
    <w:rPr>
      <w:sz w:val="20"/>
      <w:szCs w:val="20"/>
    </w:rPr>
  </w:style>
  <w:style w:type="paragraph" w:styleId="Header">
    <w:name w:val="header"/>
    <w:basedOn w:val="Normal"/>
    <w:link w:val="HeaderChar"/>
    <w:uiPriority w:val="99"/>
    <w:unhideWhenUsed/>
    <w:rsid w:val="0023704B"/>
    <w:pPr>
      <w:tabs>
        <w:tab w:val="center" w:pos="4419"/>
        <w:tab w:val="right" w:pos="8838"/>
      </w:tabs>
      <w:spacing w:after="0" w:line="240" w:lineRule="auto"/>
    </w:pPr>
  </w:style>
  <w:style w:type="character" w:customStyle="1" w:styleId="HeaderChar">
    <w:name w:val="Header Char"/>
    <w:basedOn w:val="DefaultParagraphFont"/>
    <w:link w:val="Header"/>
    <w:uiPriority w:val="99"/>
    <w:rsid w:val="0023704B"/>
  </w:style>
  <w:style w:type="paragraph" w:styleId="Footer">
    <w:name w:val="footer"/>
    <w:basedOn w:val="Normal"/>
    <w:link w:val="FooterChar"/>
    <w:uiPriority w:val="99"/>
    <w:unhideWhenUsed/>
    <w:rsid w:val="0023704B"/>
    <w:pPr>
      <w:tabs>
        <w:tab w:val="center" w:pos="4419"/>
        <w:tab w:val="right" w:pos="8838"/>
      </w:tabs>
      <w:spacing w:after="0" w:line="240" w:lineRule="auto"/>
    </w:pPr>
  </w:style>
  <w:style w:type="character" w:customStyle="1" w:styleId="FooterChar">
    <w:name w:val="Footer Char"/>
    <w:basedOn w:val="DefaultParagraphFont"/>
    <w:link w:val="Footer"/>
    <w:uiPriority w:val="99"/>
    <w:rsid w:val="00237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dc:creator>
  <cp:keywords/>
  <dc:description/>
  <cp:lastModifiedBy>Prueba</cp:lastModifiedBy>
  <cp:revision>2</cp:revision>
  <dcterms:created xsi:type="dcterms:W3CDTF">2019-12-13T20:43:00Z</dcterms:created>
  <dcterms:modified xsi:type="dcterms:W3CDTF">2019-12-13T20:43:00Z</dcterms:modified>
</cp:coreProperties>
</file>