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CC3E0"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6563279D"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27F39791"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470A4DDF"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715A46B1"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2F56D69C"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49F1F50F" wp14:editId="625329A6">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14:paraId="3173DE23"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451DB8C9"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4"/>
          <w:szCs w:val="24"/>
          <w:lang w:eastAsia="es-ES"/>
        </w:rPr>
      </w:pPr>
    </w:p>
    <w:p w14:paraId="2046C938" w14:textId="77777777" w:rsidR="00140634" w:rsidRPr="00140634" w:rsidRDefault="00140634" w:rsidP="00140634">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14:paraId="56A226C9" w14:textId="77777777" w:rsidR="00140634" w:rsidRPr="00140634" w:rsidRDefault="00140634" w:rsidP="00140634">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2B71A00B" wp14:editId="41159E90">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8"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25B6C4C3" w14:textId="77777777" w:rsidR="00140634" w:rsidRPr="00140634" w:rsidRDefault="00140634" w:rsidP="00140634">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14:paraId="6FA73B36" w14:textId="77777777" w:rsidR="00140634" w:rsidRPr="00140634" w:rsidRDefault="00140634" w:rsidP="00140634">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7D9786AB" w14:textId="77777777" w:rsidR="00140634" w:rsidRPr="00140634" w:rsidRDefault="00140634" w:rsidP="00140634">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3916384C" w14:textId="77777777" w:rsidR="00140634" w:rsidRPr="00140634" w:rsidRDefault="00140634" w:rsidP="00140634">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14:paraId="247A7DEC" w14:textId="77777777" w:rsidR="00140634" w:rsidRPr="00140634" w:rsidRDefault="001C2E6E" w:rsidP="00140634">
      <w:pPr>
        <w:autoSpaceDE w:val="0"/>
        <w:autoSpaceDN w:val="0"/>
        <w:spacing w:after="0" w:line="240" w:lineRule="auto"/>
        <w:jc w:val="center"/>
        <w:rPr>
          <w:rFonts w:ascii="Arial Narrow" w:eastAsia="Times New Roman" w:hAnsi="Arial Narrow" w:cs="Arial"/>
          <w:b/>
          <w:bCs/>
          <w:sz w:val="24"/>
          <w:szCs w:val="24"/>
          <w:lang w:eastAsia="es-ES"/>
        </w:rPr>
      </w:pPr>
      <w:r w:rsidRPr="000566A4">
        <w:rPr>
          <w:rFonts w:ascii="Arial Narrow" w:eastAsia="Times New Roman" w:hAnsi="Arial Narrow" w:cs="Arial"/>
          <w:b/>
          <w:bCs/>
          <w:lang w:eastAsia="es-ES"/>
        </w:rPr>
        <w:t>INABIE-CCC-LPN-2019-0024</w:t>
      </w:r>
    </w:p>
    <w:p w14:paraId="0A3D9710" w14:textId="77777777" w:rsidR="00140634" w:rsidRPr="00140634" w:rsidRDefault="00140634" w:rsidP="00140634">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14:paraId="77D8E97F" w14:textId="77777777" w:rsidR="00140634" w:rsidRPr="00140634" w:rsidRDefault="00140634" w:rsidP="00140634">
      <w:pPr>
        <w:autoSpaceDE w:val="0"/>
        <w:autoSpaceDN w:val="0"/>
        <w:spacing w:after="0" w:line="240" w:lineRule="auto"/>
        <w:rPr>
          <w:rFonts w:ascii="Arial Narrow" w:eastAsia="Times New Roman" w:hAnsi="Arial Narrow" w:cs="Arial"/>
          <w:b/>
          <w:bCs/>
          <w:color w:val="000000"/>
          <w:sz w:val="32"/>
          <w:szCs w:val="32"/>
          <w:lang w:eastAsia="es-ES"/>
        </w:rPr>
      </w:pPr>
    </w:p>
    <w:p w14:paraId="57829F2D" w14:textId="77777777" w:rsidR="003C48A8" w:rsidRDefault="003C48A8"/>
    <w:p w14:paraId="49216CDF" w14:textId="77777777" w:rsidR="00140634" w:rsidRDefault="00140634" w:rsidP="00140634">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14:paraId="225A7397" w14:textId="77777777" w:rsidR="00140634" w:rsidRDefault="00140634" w:rsidP="00140634">
      <w:pPr>
        <w:jc w:val="center"/>
        <w:rPr>
          <w:rFonts w:ascii="Arial Narrow" w:eastAsia="Times New Roman" w:hAnsi="Arial Narrow" w:cs="Arial"/>
          <w:b/>
          <w:sz w:val="28"/>
          <w:szCs w:val="28"/>
          <w:lang w:eastAsia="es-ES"/>
        </w:rPr>
      </w:pPr>
    </w:p>
    <w:p w14:paraId="031133C3" w14:textId="77777777" w:rsidR="00140634" w:rsidRDefault="00140634" w:rsidP="00140634">
      <w:pPr>
        <w:jc w:val="center"/>
        <w:rPr>
          <w:rFonts w:ascii="Arial Narrow" w:eastAsia="Times New Roman" w:hAnsi="Arial Narrow" w:cs="Arial"/>
          <w:b/>
          <w:sz w:val="28"/>
          <w:szCs w:val="28"/>
          <w:lang w:eastAsia="es-ES"/>
        </w:rPr>
      </w:pPr>
    </w:p>
    <w:p w14:paraId="45FB7364" w14:textId="77777777" w:rsidR="00140634" w:rsidRPr="006000F9" w:rsidRDefault="00140634" w:rsidP="006000F9">
      <w:pPr>
        <w:autoSpaceDE w:val="0"/>
        <w:autoSpaceDN w:val="0"/>
        <w:spacing w:after="0" w:line="240" w:lineRule="auto"/>
        <w:jc w:val="center"/>
        <w:rPr>
          <w:rFonts w:eastAsia="Times New Roman" w:cstheme="minorHAnsi"/>
          <w:b/>
          <w:bCs/>
          <w:color w:val="000000"/>
          <w:sz w:val="28"/>
          <w:szCs w:val="24"/>
          <w:lang w:eastAsia="es-ES"/>
        </w:rPr>
      </w:pPr>
      <w:r w:rsidRPr="006000F9">
        <w:rPr>
          <w:rFonts w:eastAsia="Times New Roman" w:cstheme="minorHAnsi"/>
          <w:b/>
          <w:bCs/>
          <w:color w:val="000000"/>
          <w:sz w:val="28"/>
          <w:szCs w:val="24"/>
          <w:lang w:eastAsia="es-ES"/>
        </w:rPr>
        <w:t>PLIEGO DE CONDICIONES ESPECÍFICAS PARA</w:t>
      </w:r>
    </w:p>
    <w:p w14:paraId="5A869BF8" w14:textId="77777777" w:rsidR="00140634" w:rsidRPr="006000F9" w:rsidRDefault="00140634" w:rsidP="006000F9">
      <w:pPr>
        <w:autoSpaceDE w:val="0"/>
        <w:autoSpaceDN w:val="0"/>
        <w:spacing w:after="0" w:line="240" w:lineRule="auto"/>
        <w:jc w:val="both"/>
        <w:rPr>
          <w:rFonts w:eastAsia="Times New Roman" w:cstheme="minorHAnsi"/>
          <w:b/>
          <w:bCs/>
          <w:color w:val="000000"/>
          <w:sz w:val="24"/>
          <w:szCs w:val="24"/>
          <w:lang w:eastAsia="es-ES"/>
        </w:rPr>
      </w:pPr>
    </w:p>
    <w:p w14:paraId="791A655D" w14:textId="77777777" w:rsidR="00140634" w:rsidRPr="006000F9" w:rsidRDefault="000566A4" w:rsidP="006000F9">
      <w:pPr>
        <w:autoSpaceDE w:val="0"/>
        <w:autoSpaceDN w:val="0"/>
        <w:spacing w:after="0" w:line="240" w:lineRule="auto"/>
        <w:jc w:val="both"/>
        <w:rPr>
          <w:rFonts w:eastAsia="Times New Roman" w:cstheme="minorHAnsi"/>
          <w:b/>
          <w:sz w:val="24"/>
          <w:szCs w:val="24"/>
          <w:lang w:eastAsia="es-ES"/>
        </w:rPr>
      </w:pPr>
      <w:r w:rsidRPr="006000F9">
        <w:rPr>
          <w:rFonts w:eastAsia="Times New Roman" w:cstheme="minorHAnsi"/>
          <w:b/>
          <w:sz w:val="24"/>
          <w:szCs w:val="24"/>
          <w:lang w:eastAsia="es-ES"/>
        </w:rPr>
        <w:t xml:space="preserve">Adquisición de Mochilas Escolares con Kits de Útiles para el año escolar 2020-2021; </w:t>
      </w:r>
      <w:r w:rsidRPr="006000F9">
        <w:rPr>
          <w:rFonts w:eastAsia="Times New Roman" w:cstheme="minorHAnsi"/>
          <w:b/>
          <w:sz w:val="24"/>
          <w:szCs w:val="24"/>
          <w:lang w:val="es-ES" w:eastAsia="es-ES"/>
        </w:rPr>
        <w:t>llevada a cabo por</w:t>
      </w:r>
      <w:r w:rsidRPr="006000F9">
        <w:rPr>
          <w:rFonts w:eastAsia="Times New Roman" w:cstheme="minorHAnsi"/>
          <w:sz w:val="24"/>
          <w:szCs w:val="24"/>
          <w:lang w:val="es-ES" w:eastAsia="es-ES"/>
        </w:rPr>
        <w:t xml:space="preserve"> </w:t>
      </w:r>
      <w:r w:rsidRPr="006000F9">
        <w:rPr>
          <w:rFonts w:eastAsia="Times New Roman" w:cstheme="minorHAnsi"/>
          <w:b/>
          <w:sz w:val="24"/>
          <w:szCs w:val="24"/>
          <w:lang w:val="es-ES" w:eastAsia="es-ES"/>
        </w:rPr>
        <w:t>el</w:t>
      </w:r>
      <w:r w:rsidRPr="006000F9">
        <w:rPr>
          <w:rFonts w:eastAsia="Times New Roman" w:cstheme="minorHAnsi"/>
          <w:sz w:val="24"/>
          <w:szCs w:val="24"/>
          <w:lang w:val="es-ES" w:eastAsia="es-ES"/>
        </w:rPr>
        <w:t xml:space="preserve"> </w:t>
      </w:r>
      <w:r w:rsidRPr="006000F9">
        <w:rPr>
          <w:rFonts w:eastAsia="Times New Roman" w:cstheme="minorHAnsi"/>
          <w:b/>
          <w:sz w:val="24"/>
          <w:szCs w:val="24"/>
          <w:lang w:val="es-ES" w:eastAsia="es-ES"/>
        </w:rPr>
        <w:t xml:space="preserve">Instituto Nacional de Bienestar Estudiantil, Ministerio de Educación; para Micros, Pequeñas y Medianas Empresas (MIPYMES), no adheridas al Régimen de Zonas Francas </w:t>
      </w:r>
      <w:r w:rsidRPr="006000F9">
        <w:rPr>
          <w:rFonts w:eastAsia="Times New Roman" w:cstheme="minorHAnsi"/>
          <w:b/>
          <w:sz w:val="24"/>
          <w:szCs w:val="24"/>
          <w:lang w:val="es-ES_tradnl" w:eastAsia="es-ES"/>
        </w:rPr>
        <w:t>(</w:t>
      </w:r>
      <w:r w:rsidRPr="006000F9">
        <w:rPr>
          <w:rFonts w:eastAsia="Times New Roman" w:cstheme="minorHAnsi"/>
          <w:b/>
          <w:bCs/>
          <w:sz w:val="24"/>
          <w:szCs w:val="24"/>
          <w:lang w:eastAsia="es-ES"/>
        </w:rPr>
        <w:t>INABIE-CCC-LPN-2019-0024).</w:t>
      </w:r>
    </w:p>
    <w:p w14:paraId="04AF8CB0" w14:textId="77777777" w:rsidR="00140634" w:rsidRPr="006000F9" w:rsidRDefault="00140634" w:rsidP="006000F9">
      <w:pPr>
        <w:jc w:val="both"/>
        <w:rPr>
          <w:rFonts w:eastAsia="Times New Roman" w:cstheme="minorHAnsi"/>
          <w:b/>
          <w:sz w:val="24"/>
          <w:szCs w:val="24"/>
          <w:lang w:eastAsia="es-ES"/>
        </w:rPr>
      </w:pPr>
    </w:p>
    <w:p w14:paraId="5DB4DEA1" w14:textId="77777777" w:rsidR="000566A4" w:rsidRPr="006000F9" w:rsidRDefault="00140634" w:rsidP="006000F9">
      <w:pPr>
        <w:jc w:val="both"/>
        <w:rPr>
          <w:rFonts w:eastAsia="Times New Roman" w:cstheme="minorHAnsi"/>
          <w:b/>
          <w:sz w:val="24"/>
          <w:szCs w:val="24"/>
          <w:lang w:eastAsia="es-ES"/>
        </w:rPr>
      </w:pPr>
      <w:r w:rsidRPr="006000F9">
        <w:rPr>
          <w:rFonts w:eastAsia="Times New Roman" w:cstheme="minorHAnsi"/>
          <w:b/>
          <w:sz w:val="24"/>
          <w:szCs w:val="24"/>
          <w:lang w:eastAsia="es-ES"/>
        </w:rPr>
        <w:t xml:space="preserve">A: </w:t>
      </w:r>
      <w:r w:rsidRPr="006000F9">
        <w:rPr>
          <w:rFonts w:eastAsia="Times New Roman" w:cstheme="minorHAnsi"/>
          <w:sz w:val="24"/>
          <w:szCs w:val="24"/>
          <w:lang w:eastAsia="es-ES"/>
        </w:rPr>
        <w:t>Todos los oferentes interesados en el procedimiento</w:t>
      </w:r>
      <w:r w:rsidRPr="006000F9">
        <w:rPr>
          <w:rFonts w:eastAsia="Times New Roman" w:cstheme="minorHAnsi"/>
          <w:b/>
          <w:sz w:val="24"/>
          <w:szCs w:val="24"/>
          <w:lang w:eastAsia="es-ES"/>
        </w:rPr>
        <w:t xml:space="preserve"> Referencia: </w:t>
      </w:r>
      <w:r w:rsidR="000566A4" w:rsidRPr="006000F9">
        <w:rPr>
          <w:rFonts w:eastAsia="Times New Roman" w:cstheme="minorHAnsi"/>
          <w:b/>
          <w:bCs/>
          <w:sz w:val="24"/>
          <w:szCs w:val="24"/>
          <w:lang w:eastAsia="es-ES"/>
        </w:rPr>
        <w:t>INABIE-CCC-LPN-2019-0024</w:t>
      </w:r>
      <w:r w:rsidRPr="006000F9">
        <w:rPr>
          <w:rFonts w:eastAsia="Times New Roman" w:cstheme="minorHAnsi"/>
          <w:b/>
          <w:sz w:val="24"/>
          <w:szCs w:val="24"/>
          <w:lang w:eastAsia="es-ES"/>
        </w:rPr>
        <w:t>.</w:t>
      </w:r>
    </w:p>
    <w:p w14:paraId="7ECDA425" w14:textId="77777777" w:rsidR="000566A4" w:rsidRPr="006000F9" w:rsidRDefault="000566A4" w:rsidP="006000F9">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De: </w:t>
      </w:r>
      <w:r w:rsidRPr="006000F9">
        <w:rPr>
          <w:rFonts w:asciiTheme="minorHAnsi" w:hAnsiTheme="minorHAnsi" w:cstheme="minorHAnsi"/>
          <w:b/>
          <w:color w:val="000000"/>
        </w:rPr>
        <w:t>El Comité de Compras y Contrataciones del INABIE</w:t>
      </w:r>
      <w:r w:rsidRPr="006000F9">
        <w:rPr>
          <w:rFonts w:asciiTheme="minorHAnsi" w:hAnsiTheme="minorHAnsi" w:cstheme="minorHAnsi"/>
          <w:color w:val="000000"/>
        </w:rPr>
        <w:t>.</w:t>
      </w:r>
    </w:p>
    <w:p w14:paraId="321F2198" w14:textId="29F02315" w:rsidR="000566A4" w:rsidRPr="006000F9" w:rsidRDefault="000566A4" w:rsidP="006000F9">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El Comité de Compras y Contrataciones del INABIE, les informa mediante esta </w:t>
      </w:r>
      <w:r w:rsidR="00C87C41">
        <w:rPr>
          <w:rFonts w:asciiTheme="minorHAnsi" w:hAnsiTheme="minorHAnsi" w:cstheme="minorHAnsi"/>
          <w:color w:val="000000"/>
        </w:rPr>
        <w:t xml:space="preserve">primera </w:t>
      </w:r>
      <w:r w:rsidRPr="006000F9">
        <w:rPr>
          <w:rFonts w:asciiTheme="minorHAnsi" w:hAnsiTheme="minorHAnsi" w:cstheme="minorHAnsi"/>
          <w:color w:val="000000"/>
        </w:rPr>
        <w:t xml:space="preserve">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sidR="006A2199">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sidR="006000F9">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pliego de condiciones específicas:</w:t>
      </w:r>
    </w:p>
    <w:p w14:paraId="6F588B53" w14:textId="5844BA51" w:rsidR="001A17A6" w:rsidRDefault="001A17A6" w:rsidP="00017EBB">
      <w:pPr>
        <w:pStyle w:val="ListParagraph"/>
        <w:numPr>
          <w:ilvl w:val="0"/>
          <w:numId w:val="5"/>
        </w:numPr>
        <w:ind w:left="0" w:firstLine="0"/>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w:t>
      </w:r>
      <w:r w:rsidR="009A5122">
        <w:rPr>
          <w:rFonts w:eastAsia="Times New Roman" w:cstheme="minorHAnsi"/>
          <w:color w:val="000000"/>
          <w:sz w:val="24"/>
          <w:szCs w:val="24"/>
          <w:lang w:eastAsia="es-DO"/>
        </w:rPr>
        <w:t>s</w:t>
      </w:r>
      <w:r w:rsidRPr="001A17A6">
        <w:rPr>
          <w:rFonts w:eastAsia="Times New Roman" w:cstheme="minorHAnsi"/>
          <w:color w:val="000000"/>
          <w:sz w:val="24"/>
          <w:szCs w:val="24"/>
          <w:lang w:eastAsia="es-DO"/>
        </w:rPr>
        <w:t xml:space="preserve"> A y Sobre</w:t>
      </w:r>
      <w:r w:rsidR="009A5122">
        <w:rPr>
          <w:rFonts w:eastAsia="Times New Roman" w:cstheme="minorHAnsi"/>
          <w:color w:val="000000"/>
          <w:sz w:val="24"/>
          <w:szCs w:val="24"/>
          <w:lang w:eastAsia="es-DO"/>
        </w:rPr>
        <w:t>s</w:t>
      </w:r>
      <w:r w:rsidRPr="001A17A6">
        <w:rPr>
          <w:rFonts w:eastAsia="Times New Roman" w:cstheme="minorHAnsi"/>
          <w:color w:val="000000"/>
          <w:sz w:val="24"/>
          <w:szCs w:val="24"/>
          <w:lang w:eastAsia="es-DO"/>
        </w:rPr>
        <w:t xml:space="preserve"> B, y apertura de Sobre A, </w:t>
      </w:r>
      <w:r w:rsidR="00795A60">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en El Instituto de Innovación en Biotecnología e Industria, IBII, ubicado en la Av. José Núñez de Cáceres Esq. Olof Palme, Sector San Gerónimo, D.N., R.D.</w:t>
      </w:r>
    </w:p>
    <w:p w14:paraId="32E5D774" w14:textId="77777777" w:rsidR="00017EBB" w:rsidRDefault="00017EBB" w:rsidP="00017EBB">
      <w:pPr>
        <w:pStyle w:val="ListParagraph"/>
        <w:ind w:left="0"/>
        <w:jc w:val="both"/>
        <w:rPr>
          <w:rFonts w:eastAsia="Times New Roman" w:cstheme="minorHAnsi"/>
          <w:color w:val="000000"/>
          <w:sz w:val="24"/>
          <w:szCs w:val="24"/>
          <w:lang w:eastAsia="es-DO"/>
        </w:rPr>
      </w:pPr>
    </w:p>
    <w:p w14:paraId="368750FC" w14:textId="77777777" w:rsidR="00017EBB" w:rsidRDefault="0044670F" w:rsidP="00017EBB">
      <w:pPr>
        <w:pStyle w:val="ListParagraph"/>
        <w:numPr>
          <w:ilvl w:val="0"/>
          <w:numId w:val="5"/>
        </w:numPr>
        <w:ind w:left="0" w:firstLine="0"/>
        <w:jc w:val="both"/>
        <w:rPr>
          <w:rFonts w:eastAsia="Times New Roman" w:cstheme="minorHAnsi"/>
          <w:color w:val="000000"/>
          <w:sz w:val="24"/>
          <w:szCs w:val="24"/>
          <w:lang w:eastAsia="es-DO"/>
        </w:rPr>
      </w:pPr>
      <w:r>
        <w:rPr>
          <w:rFonts w:eastAsia="Times New Roman" w:cstheme="minorHAnsi"/>
          <w:b/>
          <w:color w:val="000000"/>
          <w:sz w:val="24"/>
          <w:szCs w:val="24"/>
          <w:lang w:eastAsia="es-DO"/>
        </w:rPr>
        <w:t>Se a</w:t>
      </w:r>
      <w:r w:rsidR="009767FD" w:rsidRPr="009767FD">
        <w:rPr>
          <w:rFonts w:eastAsia="Times New Roman" w:cstheme="minorHAnsi"/>
          <w:b/>
          <w:color w:val="000000"/>
          <w:sz w:val="24"/>
          <w:szCs w:val="24"/>
          <w:lang w:eastAsia="es-DO"/>
        </w:rPr>
        <w:t>diciona</w:t>
      </w:r>
      <w:r w:rsidR="00017EBB" w:rsidRPr="009767FD">
        <w:rPr>
          <w:rFonts w:eastAsia="Times New Roman" w:cstheme="minorHAnsi"/>
          <w:b/>
          <w:color w:val="000000"/>
          <w:sz w:val="24"/>
          <w:szCs w:val="24"/>
          <w:lang w:eastAsia="es-DO"/>
        </w:rPr>
        <w:t>:</w:t>
      </w:r>
      <w:r w:rsidR="00017EBB">
        <w:rPr>
          <w:rFonts w:eastAsia="Times New Roman" w:cstheme="minorHAnsi"/>
          <w:color w:val="000000"/>
          <w:sz w:val="24"/>
          <w:szCs w:val="24"/>
          <w:lang w:eastAsia="es-DO"/>
        </w:rPr>
        <w:t xml:space="preserve"> E</w:t>
      </w:r>
      <w:r w:rsidR="009767FD">
        <w:rPr>
          <w:rFonts w:eastAsia="Times New Roman" w:cstheme="minorHAnsi"/>
          <w:color w:val="000000"/>
          <w:sz w:val="24"/>
          <w:szCs w:val="24"/>
          <w:lang w:eastAsia="es-DO"/>
        </w:rPr>
        <w:t>n e</w:t>
      </w:r>
      <w:r w:rsidR="00017EBB">
        <w:rPr>
          <w:rFonts w:eastAsia="Times New Roman" w:cstheme="minorHAnsi"/>
          <w:color w:val="000000"/>
          <w:sz w:val="24"/>
          <w:szCs w:val="24"/>
          <w:lang w:eastAsia="es-DO"/>
        </w:rPr>
        <w:t>l numeral</w:t>
      </w:r>
      <w:r w:rsidR="009767FD">
        <w:rPr>
          <w:rFonts w:eastAsia="Times New Roman" w:cstheme="minorHAnsi"/>
          <w:color w:val="000000"/>
          <w:sz w:val="24"/>
          <w:szCs w:val="24"/>
          <w:lang w:eastAsia="es-DO"/>
        </w:rPr>
        <w:t xml:space="preserve"> 1.4, sobre Precio de la Oferta, lo siguiente</w:t>
      </w:r>
      <w:r w:rsidR="00017EBB">
        <w:rPr>
          <w:rFonts w:eastAsia="Times New Roman" w:cstheme="minorHAnsi"/>
          <w:color w:val="000000"/>
          <w:sz w:val="24"/>
          <w:szCs w:val="24"/>
          <w:lang w:eastAsia="es-DO"/>
        </w:rPr>
        <w:t>:</w:t>
      </w:r>
    </w:p>
    <w:p w14:paraId="003AB735" w14:textId="77777777" w:rsidR="001A17A6" w:rsidRDefault="001A17A6" w:rsidP="001C03B0">
      <w:pPr>
        <w:pStyle w:val="ListParagraph"/>
        <w:ind w:left="0"/>
        <w:jc w:val="center"/>
        <w:rPr>
          <w:rFonts w:eastAsia="Times New Roman" w:cstheme="minorHAnsi"/>
          <w:color w:val="000000"/>
          <w:sz w:val="24"/>
          <w:szCs w:val="24"/>
          <w:lang w:eastAsia="es-DO"/>
        </w:rPr>
      </w:pPr>
    </w:p>
    <w:p w14:paraId="67930FB1" w14:textId="77777777" w:rsidR="009767FD" w:rsidRPr="00876663" w:rsidRDefault="009767FD" w:rsidP="001A17A6">
      <w:pPr>
        <w:pStyle w:val="ListParagraph"/>
        <w:ind w:left="0"/>
        <w:rPr>
          <w:rFonts w:eastAsia="Times New Roman" w:cstheme="minorHAnsi"/>
          <w:b/>
          <w:color w:val="000000"/>
          <w:sz w:val="24"/>
          <w:szCs w:val="24"/>
          <w:lang w:eastAsia="es-DO"/>
        </w:rPr>
      </w:pPr>
      <w:r w:rsidRPr="00876663">
        <w:rPr>
          <w:rFonts w:eastAsia="Times New Roman" w:cstheme="minorHAnsi"/>
          <w:b/>
          <w:color w:val="000000"/>
          <w:sz w:val="24"/>
          <w:szCs w:val="24"/>
          <w:lang w:eastAsia="es-DO"/>
        </w:rPr>
        <w:t xml:space="preserve">El precio único, por mochila, es de cuatrocientos pesos (RD$400). </w:t>
      </w:r>
    </w:p>
    <w:p w14:paraId="0FCDF649" w14:textId="77777777" w:rsidR="009767FD" w:rsidRPr="001A17A6" w:rsidRDefault="009767FD" w:rsidP="001A17A6">
      <w:pPr>
        <w:pStyle w:val="ListParagraph"/>
        <w:ind w:left="0"/>
        <w:rPr>
          <w:rFonts w:eastAsia="Times New Roman" w:cstheme="minorHAnsi"/>
          <w:color w:val="000000"/>
          <w:sz w:val="24"/>
          <w:szCs w:val="24"/>
          <w:lang w:eastAsia="es-DO"/>
        </w:rPr>
      </w:pPr>
    </w:p>
    <w:p w14:paraId="6B6E0F7B" w14:textId="77777777" w:rsidR="00E40BA8" w:rsidRPr="006000F9" w:rsidRDefault="00E40BA8" w:rsidP="006000F9">
      <w:pPr>
        <w:pStyle w:val="ListParagraph"/>
        <w:numPr>
          <w:ilvl w:val="0"/>
          <w:numId w:val="5"/>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 el numeral 2.1, Objeto de la Licitación, que en lo adelante, dirá de la forma siguiente: </w:t>
      </w:r>
    </w:p>
    <w:p w14:paraId="7854CE07" w14:textId="77777777" w:rsidR="00D4424B" w:rsidRDefault="00E40BA8" w:rsidP="00D4424B">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Constituye el objeto de la presente convocatoria la Adquisición de Mochilas Escolares para el año escolar </w:t>
      </w:r>
      <w:r w:rsidRPr="009A5122">
        <w:rPr>
          <w:rFonts w:asciiTheme="minorHAnsi" w:hAnsiTheme="minorHAnsi" w:cstheme="minorHAnsi"/>
          <w:b/>
          <w:color w:val="000000"/>
          <w:highlight w:val="yellow"/>
        </w:rPr>
        <w:t>2020-2021</w:t>
      </w:r>
      <w:r w:rsidRPr="006000F9">
        <w:rPr>
          <w:rFonts w:asciiTheme="minorHAnsi" w:hAnsiTheme="minorHAnsi" w:cstheme="minorHAnsi"/>
          <w:color w:val="000000"/>
        </w:rPr>
        <w:t>; llevada a cabo por el Instituto Nacional de Bienestar Estudiantil, Ministerio de Educación, para personas físicas, y empresas textiles nacionales (Micros, Pequeñas y Medianas Empresas (MIPYMES), no adheridas al Régimen de Zonas Francas (Referencia: INABIE-CCC-LPN-2019-0024), de acuerdo con las condiciones fijadas en el presente Pliego de Condiciones Específicas.</w:t>
      </w:r>
      <w:bookmarkStart w:id="0" w:name="_Toc185953115"/>
      <w:bookmarkStart w:id="1" w:name="_Toc343081972"/>
    </w:p>
    <w:p w14:paraId="34B8D4D8" w14:textId="5C08CBEA" w:rsidR="00215CA7" w:rsidRPr="00215CA7" w:rsidRDefault="00215CA7" w:rsidP="00215CA7">
      <w:pPr>
        <w:pStyle w:val="NormalWeb"/>
        <w:numPr>
          <w:ilvl w:val="0"/>
          <w:numId w:val="5"/>
        </w:numPr>
        <w:ind w:left="284"/>
        <w:jc w:val="both"/>
        <w:rPr>
          <w:rFonts w:asciiTheme="minorHAnsi" w:hAnsiTheme="minorHAnsi" w:cstheme="minorHAnsi"/>
          <w:color w:val="000000"/>
        </w:rPr>
      </w:pPr>
      <w:r w:rsidRPr="00215CA7">
        <w:rPr>
          <w:rFonts w:asciiTheme="minorHAnsi" w:hAnsiTheme="minorHAnsi" w:cstheme="minorHAnsi"/>
          <w:b/>
          <w:color w:val="000000"/>
        </w:rPr>
        <w:t>Se modifica</w:t>
      </w:r>
      <w:r>
        <w:rPr>
          <w:rFonts w:asciiTheme="minorHAnsi" w:hAnsiTheme="minorHAnsi" w:cstheme="minorHAnsi"/>
          <w:color w:val="000000"/>
        </w:rPr>
        <w:t>: E</w:t>
      </w:r>
      <w:r w:rsidRPr="00215CA7">
        <w:rPr>
          <w:rFonts w:asciiTheme="minorHAnsi" w:hAnsiTheme="minorHAnsi" w:cstheme="minorHAnsi"/>
          <w:color w:val="000000"/>
        </w:rPr>
        <w:t xml:space="preserve">l  </w:t>
      </w:r>
      <w:r w:rsidR="009A5122">
        <w:rPr>
          <w:rFonts w:asciiTheme="minorHAnsi" w:hAnsiTheme="minorHAnsi" w:cstheme="minorHAnsi"/>
          <w:color w:val="000000"/>
        </w:rPr>
        <w:t xml:space="preserve">numeral 2.4, sobre </w:t>
      </w:r>
      <w:r w:rsidRPr="00215CA7">
        <w:rPr>
          <w:rFonts w:asciiTheme="minorHAnsi" w:hAnsiTheme="minorHAnsi" w:cstheme="minorHAnsi"/>
          <w:color w:val="000000"/>
        </w:rPr>
        <w:t xml:space="preserve">de Condiciones de Pago, </w:t>
      </w:r>
      <w:r w:rsidR="009A5122">
        <w:rPr>
          <w:rFonts w:asciiTheme="minorHAnsi" w:hAnsiTheme="minorHAnsi" w:cstheme="minorHAnsi"/>
          <w:color w:val="000000"/>
        </w:rPr>
        <w:t>para que en lo adelante, diga lo siguiente.</w:t>
      </w:r>
      <w:r w:rsidRPr="00215CA7">
        <w:rPr>
          <w:rFonts w:asciiTheme="minorHAnsi" w:hAnsiTheme="minorHAnsi" w:cstheme="minorHAnsi"/>
          <w:color w:val="000000"/>
        </w:rPr>
        <w:t>.</w:t>
      </w:r>
    </w:p>
    <w:p w14:paraId="6793645E" w14:textId="0C8089EF" w:rsidR="00215CA7" w:rsidRPr="00215CA7" w:rsidRDefault="00215CA7" w:rsidP="00215CA7">
      <w:pPr>
        <w:pStyle w:val="NormalWeb"/>
        <w:jc w:val="both"/>
        <w:rPr>
          <w:rFonts w:asciiTheme="minorHAnsi" w:hAnsiTheme="minorHAnsi" w:cstheme="minorHAnsi"/>
          <w:color w:val="000000"/>
        </w:rPr>
      </w:pPr>
      <w:r w:rsidRPr="00215CA7">
        <w:rPr>
          <w:rFonts w:asciiTheme="minorHAnsi" w:hAnsiTheme="minorHAnsi" w:cstheme="minorHAnsi"/>
          <w:color w:val="000000"/>
        </w:rPr>
        <w:t>Se pagará un 20% de Anticipo a las MIPYMES contra presentación de las pólizas: del  buen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w:t>
      </w:r>
      <w:r>
        <w:rPr>
          <w:rFonts w:asciiTheme="minorHAnsi" w:hAnsiTheme="minorHAnsi" w:cstheme="minorHAnsi"/>
          <w:color w:val="000000"/>
        </w:rPr>
        <w:t>iciario SIGEF).</w:t>
      </w:r>
    </w:p>
    <w:p w14:paraId="2DC7F2BB" w14:textId="14CF5306" w:rsidR="00215CA7" w:rsidRPr="00215CA7" w:rsidRDefault="00215CA7" w:rsidP="00215CA7">
      <w:pPr>
        <w:pStyle w:val="NormalWeb"/>
        <w:jc w:val="both"/>
        <w:rPr>
          <w:rFonts w:asciiTheme="minorHAnsi" w:hAnsiTheme="minorHAnsi" w:cstheme="minorHAnsi"/>
          <w:color w:val="000000"/>
        </w:rPr>
      </w:pPr>
      <w:r w:rsidRPr="00215CA7">
        <w:rPr>
          <w:rFonts w:asciiTheme="minorHAnsi" w:hAnsiTheme="minorHAnsi" w:cstheme="minorHAnsi"/>
          <w:color w:val="000000"/>
        </w:rPr>
        <w:t>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Repub</w:t>
      </w:r>
      <w:r>
        <w:rPr>
          <w:rFonts w:asciiTheme="minorHAnsi" w:hAnsiTheme="minorHAnsi" w:cstheme="minorHAnsi"/>
          <w:color w:val="000000"/>
        </w:rPr>
        <w:t>lica  (periodo de 45 a 60 días)</w:t>
      </w:r>
    </w:p>
    <w:p w14:paraId="4772085A" w14:textId="70B0D256" w:rsidR="00215CA7" w:rsidRDefault="00215CA7" w:rsidP="00215CA7">
      <w:pPr>
        <w:pStyle w:val="NormalWeb"/>
        <w:jc w:val="both"/>
        <w:rPr>
          <w:rFonts w:asciiTheme="minorHAnsi" w:hAnsiTheme="minorHAnsi" w:cstheme="minorHAnsi"/>
          <w:color w:val="000000"/>
        </w:rPr>
      </w:pPr>
      <w:r w:rsidRPr="00215CA7">
        <w:rPr>
          <w:rFonts w:asciiTheme="minorHAnsi" w:hAnsiTheme="minorHAnsi" w:cstheme="minorHAnsi"/>
          <w:color w:val="000000"/>
        </w:rPr>
        <w:t>La documentación requerida para pago debe ser depositada conforme a los procedimientos establecidos por el INABIE para los fines.</w:t>
      </w:r>
    </w:p>
    <w:p w14:paraId="4A82202F" w14:textId="77777777" w:rsidR="00215CA7" w:rsidRDefault="00215CA7" w:rsidP="00215CA7">
      <w:pPr>
        <w:pStyle w:val="NormalWeb"/>
        <w:jc w:val="both"/>
        <w:rPr>
          <w:rFonts w:asciiTheme="minorHAnsi" w:hAnsiTheme="minorHAnsi" w:cstheme="minorHAnsi"/>
          <w:color w:val="000000"/>
        </w:rPr>
      </w:pPr>
    </w:p>
    <w:p w14:paraId="5D8DBE9A" w14:textId="77777777" w:rsidR="00215CA7" w:rsidRDefault="00215CA7" w:rsidP="00215CA7">
      <w:pPr>
        <w:pStyle w:val="NormalWeb"/>
        <w:jc w:val="both"/>
        <w:rPr>
          <w:rFonts w:asciiTheme="minorHAnsi" w:hAnsiTheme="minorHAnsi" w:cstheme="minorHAnsi"/>
          <w:color w:val="000000"/>
        </w:rPr>
      </w:pPr>
    </w:p>
    <w:p w14:paraId="3B38B56A" w14:textId="77777777" w:rsidR="00215CA7" w:rsidRDefault="00215CA7" w:rsidP="00215CA7">
      <w:pPr>
        <w:pStyle w:val="NormalWeb"/>
        <w:jc w:val="both"/>
        <w:rPr>
          <w:rFonts w:asciiTheme="minorHAnsi" w:hAnsiTheme="minorHAnsi" w:cstheme="minorHAnsi"/>
          <w:color w:val="000000"/>
        </w:rPr>
      </w:pPr>
    </w:p>
    <w:p w14:paraId="09948691" w14:textId="77777777" w:rsidR="00215CA7" w:rsidRDefault="00215CA7" w:rsidP="00215CA7">
      <w:pPr>
        <w:pStyle w:val="NormalWeb"/>
        <w:jc w:val="both"/>
        <w:rPr>
          <w:rFonts w:asciiTheme="minorHAnsi" w:hAnsiTheme="minorHAnsi" w:cstheme="minorHAnsi"/>
          <w:color w:val="000000"/>
        </w:rPr>
      </w:pPr>
    </w:p>
    <w:p w14:paraId="21FB2119" w14:textId="77777777" w:rsidR="00215CA7" w:rsidRDefault="00215CA7" w:rsidP="00215CA7">
      <w:pPr>
        <w:pStyle w:val="NormalWeb"/>
        <w:jc w:val="both"/>
        <w:rPr>
          <w:rFonts w:asciiTheme="minorHAnsi" w:hAnsiTheme="minorHAnsi" w:cstheme="minorHAnsi"/>
          <w:color w:val="000000"/>
        </w:rPr>
      </w:pPr>
    </w:p>
    <w:bookmarkEnd w:id="0"/>
    <w:bookmarkEnd w:id="1"/>
    <w:p w14:paraId="043A9B57" w14:textId="77777777" w:rsidR="009767FD" w:rsidRPr="009767FD" w:rsidRDefault="009767FD" w:rsidP="009767FD">
      <w:pPr>
        <w:pStyle w:val="ListParagraph"/>
        <w:ind w:left="0"/>
        <w:rPr>
          <w:rFonts w:eastAsia="Times New Roman" w:cstheme="minorHAnsi"/>
          <w:color w:val="000000"/>
          <w:sz w:val="24"/>
          <w:szCs w:val="24"/>
          <w:lang w:eastAsia="es-DO"/>
        </w:rPr>
      </w:pPr>
    </w:p>
    <w:p w14:paraId="576604BD" w14:textId="77777777" w:rsidR="000566A4" w:rsidRPr="006000F9" w:rsidRDefault="001C2E6E" w:rsidP="006000F9">
      <w:pPr>
        <w:pStyle w:val="NormalWeb"/>
        <w:numPr>
          <w:ilvl w:val="0"/>
          <w:numId w:val="5"/>
        </w:numPr>
        <w:ind w:left="0" w:firstLine="0"/>
        <w:jc w:val="both"/>
        <w:rPr>
          <w:rFonts w:asciiTheme="minorHAnsi" w:hAnsiTheme="minorHAnsi" w:cstheme="minorHAnsi"/>
          <w:color w:val="000000"/>
        </w:rPr>
      </w:pPr>
      <w:r w:rsidRPr="006000F9">
        <w:rPr>
          <w:rFonts w:asciiTheme="minorHAnsi" w:hAnsiTheme="minorHAnsi" w:cstheme="minorHAnsi"/>
          <w:b/>
          <w:lang w:eastAsia="es-ES"/>
        </w:rPr>
        <w:t xml:space="preserve">Se modifica: </w:t>
      </w:r>
      <w:r w:rsidR="009767FD">
        <w:rPr>
          <w:rFonts w:asciiTheme="minorHAnsi" w:hAnsiTheme="minorHAnsi" w:cstheme="minorHAnsi"/>
          <w:color w:val="000000"/>
        </w:rPr>
        <w:t>E</w:t>
      </w:r>
      <w:r w:rsidR="00B3659A" w:rsidRPr="006000F9">
        <w:rPr>
          <w:rFonts w:asciiTheme="minorHAnsi" w:hAnsiTheme="minorHAnsi" w:cstheme="minorHAnsi"/>
          <w:color w:val="000000"/>
        </w:rPr>
        <w:t xml:space="preserve">l numeral 2.5, Cronograma de Licitación, </w:t>
      </w:r>
      <w:r w:rsidRPr="006000F9">
        <w:rPr>
          <w:rFonts w:asciiTheme="minorHAnsi" w:hAnsiTheme="minorHAnsi" w:cstheme="minorHAnsi"/>
          <w:lang w:eastAsia="es-ES"/>
        </w:rPr>
        <w:t>que en lo adelante, dirá de la forma siguiente</w:t>
      </w:r>
      <w:r w:rsidR="00B3659A" w:rsidRPr="006000F9">
        <w:rPr>
          <w:rFonts w:asciiTheme="minorHAnsi" w:hAnsiTheme="minorHAnsi" w:cstheme="minorHAnsi"/>
          <w:color w:val="000000"/>
        </w:rPr>
        <w:t>:</w:t>
      </w:r>
      <w:r w:rsidRPr="006000F9">
        <w:rPr>
          <w:rFonts w:asciiTheme="minorHAnsi" w:hAnsiTheme="minorHAnsi"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0566A4" w:rsidRPr="000566A4" w14:paraId="72B42C36" w14:textId="77777777" w:rsidTr="000B7F7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7FD09FF9" w14:textId="77777777" w:rsidR="000566A4" w:rsidRPr="000566A4" w:rsidRDefault="000566A4" w:rsidP="000566A4">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01960115" w14:textId="77777777" w:rsidR="000566A4" w:rsidRPr="000566A4" w:rsidRDefault="000566A4" w:rsidP="000566A4">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0566A4" w:rsidRPr="000566A4" w14:paraId="0B85FE59" w14:textId="77777777" w:rsidTr="000B7F7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05110C8E" w14:textId="77777777" w:rsidR="000566A4" w:rsidRPr="000566A4" w:rsidRDefault="000566A4" w:rsidP="000566A4">
            <w:pPr>
              <w:numPr>
                <w:ilvl w:val="0"/>
                <w:numId w:val="4"/>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7A1B690B"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14:paraId="0899B373"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0566A4" w:rsidRPr="000566A4" w14:paraId="3B415C9E" w14:textId="77777777" w:rsidTr="000B7F7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2E7B5F52"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4E048F1A" w14:textId="77777777" w:rsidR="000566A4" w:rsidRPr="000566A4" w:rsidRDefault="000566A4" w:rsidP="000566A4">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14:paraId="1FF2A8C5" w14:textId="77777777" w:rsidR="000566A4" w:rsidRPr="000566A4" w:rsidRDefault="000566A4" w:rsidP="000566A4">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r w:rsidRPr="000566A4">
              <w:rPr>
                <w:rFonts w:ascii="Arial Narrow" w:eastAsia="Times New Roman" w:hAnsi="Arial Narrow" w:cs="Arial"/>
                <w:b/>
                <w:color w:val="000000"/>
                <w:sz w:val="24"/>
                <w:szCs w:val="24"/>
                <w:lang w:eastAsia="es-ES"/>
              </w:rPr>
              <w:t>Martes 3 de Diciembre de 2019</w:t>
            </w:r>
          </w:p>
        </w:tc>
      </w:tr>
      <w:tr w:rsidR="000566A4" w:rsidRPr="000566A4" w14:paraId="77DB6D77" w14:textId="77777777" w:rsidTr="000B7F7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558AE513"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4C82F546" w14:textId="77777777" w:rsidR="000566A4" w:rsidRPr="000566A4" w:rsidRDefault="000566A4" w:rsidP="000566A4">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14:paraId="5708636F" w14:textId="77777777" w:rsidR="000566A4" w:rsidRPr="000566A4" w:rsidRDefault="000566A4" w:rsidP="000566A4">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Martes 17 de Diciembre</w:t>
            </w:r>
          </w:p>
        </w:tc>
      </w:tr>
      <w:tr w:rsidR="000566A4" w:rsidRPr="000566A4" w14:paraId="14E01DE1" w14:textId="77777777" w:rsidTr="000B7F7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38036DC2"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14:paraId="76968B4F"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14:paraId="086B3BC1"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Viernes 27 de Diciembre de 2019</w:t>
            </w:r>
          </w:p>
        </w:tc>
      </w:tr>
      <w:tr w:rsidR="000566A4" w:rsidRPr="000566A4" w14:paraId="053865FE" w14:textId="77777777" w:rsidTr="000B7F7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74E6EE24"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5A4ADE20"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Enero </w:t>
            </w:r>
            <w:r w:rsidRPr="000566A4">
              <w:rPr>
                <w:rFonts w:ascii="Arial Narrow" w:eastAsia="Times New Roman" w:hAnsi="Arial Narrow" w:cs="Arial"/>
                <w:b/>
                <w:color w:val="000000"/>
                <w:sz w:val="24"/>
                <w:szCs w:val="24"/>
                <w:highlight w:val="yellow"/>
                <w:lang w:eastAsia="es-ES"/>
              </w:rPr>
              <w:t>2020</w:t>
            </w:r>
          </w:p>
        </w:tc>
      </w:tr>
      <w:tr w:rsidR="000566A4" w:rsidRPr="000566A4" w14:paraId="41D794B4" w14:textId="77777777"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5FAD781F"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1CE6159B"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Enero de </w:t>
            </w:r>
            <w:r w:rsidRPr="000566A4">
              <w:rPr>
                <w:rFonts w:ascii="Arial Narrow" w:eastAsia="Times New Roman" w:hAnsi="Arial Narrow" w:cs="Arial"/>
                <w:b/>
                <w:color w:val="000000"/>
                <w:sz w:val="24"/>
                <w:szCs w:val="24"/>
                <w:highlight w:val="yellow"/>
                <w:lang w:eastAsia="es-ES"/>
              </w:rPr>
              <w:t>2020</w:t>
            </w:r>
          </w:p>
        </w:tc>
      </w:tr>
      <w:tr w:rsidR="000566A4" w:rsidRPr="000566A4" w14:paraId="2727CD8C" w14:textId="77777777"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6709C7A"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292FBB0E" w14:textId="77777777" w:rsidR="000566A4" w:rsidRPr="000566A4" w:rsidRDefault="000566A4" w:rsidP="000566A4">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0566A4" w:rsidRPr="000566A4" w14:paraId="13B79614" w14:textId="77777777" w:rsidTr="000B7F7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3D0535F2"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0BF366B3" w14:textId="77777777" w:rsidR="000566A4" w:rsidRPr="000566A4" w:rsidRDefault="000566A4" w:rsidP="000566A4">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0566A4" w:rsidRPr="000566A4" w14:paraId="5C5D7E60" w14:textId="77777777" w:rsidTr="000B7F7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050547D3"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36A112DD"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Martes 4 de Febrero de </w:t>
            </w:r>
            <w:r w:rsidRPr="000566A4">
              <w:rPr>
                <w:rFonts w:ascii="Arial Narrow" w:eastAsia="Times New Roman" w:hAnsi="Arial Narrow" w:cs="Arial"/>
                <w:b/>
                <w:color w:val="000000"/>
                <w:sz w:val="24"/>
                <w:szCs w:val="24"/>
                <w:highlight w:val="yellow"/>
                <w:lang w:eastAsia="es-ES"/>
              </w:rPr>
              <w:t>2020</w:t>
            </w:r>
          </w:p>
        </w:tc>
      </w:tr>
      <w:tr w:rsidR="000566A4" w:rsidRPr="000566A4" w14:paraId="4D221C16"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9C61DC4" w14:textId="77777777" w:rsidR="000566A4" w:rsidRPr="000566A4" w:rsidRDefault="000566A4" w:rsidP="000566A4">
            <w:pPr>
              <w:numPr>
                <w:ilvl w:val="0"/>
                <w:numId w:val="4"/>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1070A978" w14:textId="3BD737AA" w:rsidR="000566A4" w:rsidRPr="000566A4" w:rsidRDefault="000566A4" w:rsidP="009A512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Lunes  10 de Febrero de </w:t>
            </w:r>
            <w:r w:rsidRPr="000566A4">
              <w:rPr>
                <w:rFonts w:ascii="Arial Narrow" w:eastAsia="Times New Roman" w:hAnsi="Arial Narrow" w:cs="Arial"/>
                <w:b/>
                <w:color w:val="000000"/>
                <w:sz w:val="24"/>
                <w:szCs w:val="24"/>
                <w:highlight w:val="yellow"/>
                <w:lang w:eastAsia="es-ES"/>
              </w:rPr>
              <w:t>2020,</w:t>
            </w:r>
            <w:r w:rsidRPr="000566A4">
              <w:rPr>
                <w:rFonts w:ascii="Arial Narrow" w:eastAsia="Times New Roman" w:hAnsi="Arial Narrow" w:cs="Arial"/>
                <w:b/>
                <w:color w:val="000000"/>
                <w:sz w:val="24"/>
                <w:szCs w:val="24"/>
                <w:lang w:eastAsia="es-ES"/>
              </w:rPr>
              <w:t xml:space="preserve"> a las 10:00 a.m., </w:t>
            </w:r>
          </w:p>
        </w:tc>
      </w:tr>
      <w:tr w:rsidR="000566A4" w:rsidRPr="000566A4" w14:paraId="3B4135A6" w14:textId="77777777" w:rsidTr="000B7F7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309C5A60"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943DB4E"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Febrero al Lunes 2 de Marzo de </w:t>
            </w:r>
            <w:r w:rsidRPr="000566A4">
              <w:rPr>
                <w:rFonts w:ascii="Arial Narrow" w:eastAsia="Times New Roman" w:hAnsi="Arial Narrow" w:cs="Arial"/>
                <w:b/>
                <w:color w:val="000000"/>
                <w:sz w:val="24"/>
                <w:szCs w:val="24"/>
                <w:highlight w:val="yellow"/>
                <w:lang w:eastAsia="es-ES"/>
              </w:rPr>
              <w:t>2020</w:t>
            </w:r>
          </w:p>
        </w:tc>
      </w:tr>
      <w:tr w:rsidR="000566A4" w:rsidRPr="000566A4" w14:paraId="09C2586D" w14:textId="77777777" w:rsidTr="000B7F7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4FB3F3F3"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45A29887" w14:textId="77777777" w:rsidR="000566A4" w:rsidRPr="000566A4" w:rsidRDefault="000566A4" w:rsidP="000566A4">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Marzo de </w:t>
            </w:r>
            <w:r w:rsidR="00B3659A">
              <w:rPr>
                <w:rFonts w:ascii="Arial Narrow" w:eastAsia="Times New Roman" w:hAnsi="Arial Narrow" w:cs="Arial"/>
                <w:b/>
                <w:color w:val="000000"/>
                <w:sz w:val="24"/>
                <w:szCs w:val="24"/>
                <w:highlight w:val="yellow"/>
                <w:lang w:eastAsia="es-ES"/>
              </w:rPr>
              <w:t>2020</w:t>
            </w:r>
          </w:p>
        </w:tc>
      </w:tr>
      <w:tr w:rsidR="000566A4" w:rsidRPr="000566A4" w14:paraId="7EE86FE6" w14:textId="77777777" w:rsidTr="000B7F7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7FC6F7DB"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0F1F777C"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14:paraId="45378B51"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Marzo de </w:t>
            </w:r>
            <w:r w:rsidRPr="000566A4">
              <w:rPr>
                <w:rFonts w:ascii="Arial Narrow" w:eastAsia="Times New Roman" w:hAnsi="Arial Narrow" w:cs="Arial"/>
                <w:b/>
                <w:color w:val="000000"/>
                <w:sz w:val="24"/>
                <w:szCs w:val="24"/>
                <w:highlight w:val="yellow"/>
                <w:lang w:eastAsia="es-ES"/>
              </w:rPr>
              <w:t>2020</w:t>
            </w:r>
          </w:p>
        </w:tc>
      </w:tr>
      <w:tr w:rsidR="000566A4" w:rsidRPr="000566A4" w14:paraId="793CB837"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3619C3B7"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15761262"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14:paraId="6DABF757" w14:textId="77777777" w:rsidR="000566A4" w:rsidRPr="000566A4" w:rsidRDefault="000566A4" w:rsidP="000566A4">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Marzo de </w:t>
            </w:r>
            <w:r w:rsidRPr="000566A4">
              <w:rPr>
                <w:rFonts w:ascii="Arial Narrow" w:eastAsia="Times New Roman" w:hAnsi="Arial Narrow" w:cs="Arial"/>
                <w:b/>
                <w:color w:val="000000"/>
                <w:sz w:val="24"/>
                <w:szCs w:val="24"/>
                <w:highlight w:val="yellow"/>
                <w:lang w:eastAsia="es-ES"/>
              </w:rPr>
              <w:t>2020</w:t>
            </w:r>
          </w:p>
        </w:tc>
      </w:tr>
      <w:tr w:rsidR="000566A4" w:rsidRPr="000566A4" w14:paraId="0F85A8CD" w14:textId="77777777"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97420AD"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5CF07357" w14:textId="7C7E9366" w:rsidR="000566A4" w:rsidRPr="000566A4" w:rsidRDefault="000566A4" w:rsidP="00C87C41">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Abril de </w:t>
            </w:r>
            <w:r w:rsidRPr="00C87C41">
              <w:rPr>
                <w:rFonts w:ascii="Arial Narrow" w:eastAsia="Times New Roman" w:hAnsi="Arial Narrow" w:cs="Arial"/>
                <w:b/>
                <w:color w:val="000000"/>
                <w:sz w:val="24"/>
                <w:szCs w:val="24"/>
                <w:highlight w:val="yellow"/>
                <w:lang w:eastAsia="es-ES"/>
              </w:rPr>
              <w:t>2020</w:t>
            </w:r>
            <w:r w:rsidRPr="000566A4">
              <w:rPr>
                <w:rFonts w:ascii="Times New Roman" w:eastAsia="Times New Roman" w:hAnsi="Times New Roman" w:cs="Times New Roman"/>
                <w:sz w:val="24"/>
                <w:szCs w:val="24"/>
                <w:lang w:eastAsia="es-ES"/>
              </w:rPr>
              <w:t xml:space="preserve"> </w:t>
            </w:r>
          </w:p>
        </w:tc>
      </w:tr>
      <w:tr w:rsidR="000566A4" w:rsidRPr="000566A4" w14:paraId="1C59BB5E" w14:textId="77777777" w:rsidTr="000B7F7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15A96BEF" w14:textId="77777777" w:rsidR="000566A4" w:rsidRPr="000566A4" w:rsidRDefault="000566A4" w:rsidP="000566A4">
            <w:pPr>
              <w:numPr>
                <w:ilvl w:val="0"/>
                <w:numId w:val="4"/>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1F9E70CA" w14:textId="77777777" w:rsidR="000566A4" w:rsidRPr="000566A4" w:rsidRDefault="000566A4" w:rsidP="000566A4">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Abril de </w:t>
            </w:r>
            <w:r w:rsidRPr="000566A4">
              <w:rPr>
                <w:rFonts w:ascii="Arial Narrow" w:eastAsia="Times New Roman" w:hAnsi="Arial Narrow" w:cs="Arial"/>
                <w:b/>
                <w:color w:val="000000"/>
                <w:sz w:val="24"/>
                <w:szCs w:val="24"/>
                <w:highlight w:val="yellow"/>
                <w:lang w:eastAsia="es-ES"/>
              </w:rPr>
              <w:t>2020</w:t>
            </w:r>
          </w:p>
        </w:tc>
      </w:tr>
    </w:tbl>
    <w:p w14:paraId="1BCEC9FC" w14:textId="77777777" w:rsidR="001A17A6" w:rsidRPr="001A17A6" w:rsidRDefault="001A17A6" w:rsidP="001A17A6">
      <w:pPr>
        <w:pStyle w:val="ListParagraph"/>
        <w:ind w:left="0"/>
        <w:jc w:val="both"/>
        <w:rPr>
          <w:rFonts w:eastAsia="Times New Roman" w:cstheme="minorHAnsi"/>
          <w:color w:val="000000"/>
          <w:sz w:val="24"/>
          <w:szCs w:val="24"/>
          <w:highlight w:val="yellow"/>
          <w:lang w:eastAsia="es-DO"/>
        </w:rPr>
      </w:pPr>
    </w:p>
    <w:p w14:paraId="4E1D1AC8" w14:textId="77777777" w:rsidR="00367BF8" w:rsidRDefault="00367BF8" w:rsidP="00367BF8">
      <w:pPr>
        <w:pStyle w:val="ListParagraph"/>
        <w:numPr>
          <w:ilvl w:val="0"/>
          <w:numId w:val="5"/>
        </w:numPr>
        <w:ind w:left="284"/>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adiciona:</w:t>
      </w:r>
      <w:r w:rsidRPr="00367BF8">
        <w:rPr>
          <w:rFonts w:eastAsia="Times New Roman" w:cstheme="minorHAnsi"/>
          <w:color w:val="000000"/>
          <w:sz w:val="24"/>
          <w:szCs w:val="24"/>
          <w:lang w:eastAsia="es-DO"/>
        </w:rPr>
        <w:t xml:space="preserve"> En el numeral 2.8, sobre Descripción de los Bienes, se agrega el detalle, reparto y distribución de los lotes, a saber:</w:t>
      </w:r>
    </w:p>
    <w:tbl>
      <w:tblPr>
        <w:tblW w:w="5500" w:type="dxa"/>
        <w:tblCellMar>
          <w:left w:w="70" w:type="dxa"/>
          <w:right w:w="70" w:type="dxa"/>
        </w:tblCellMar>
        <w:tblLook w:val="04A0" w:firstRow="1" w:lastRow="0" w:firstColumn="1" w:lastColumn="0" w:noHBand="0" w:noVBand="1"/>
      </w:tblPr>
      <w:tblGrid>
        <w:gridCol w:w="2397"/>
        <w:gridCol w:w="1182"/>
        <w:gridCol w:w="1943"/>
      </w:tblGrid>
      <w:tr w:rsidR="00367BF8" w:rsidRPr="009767FD" w14:paraId="5BD2E4EA" w14:textId="77777777" w:rsidTr="001C2E96">
        <w:trPr>
          <w:trHeight w:val="435"/>
        </w:trPr>
        <w:tc>
          <w:tcPr>
            <w:tcW w:w="5500" w:type="dxa"/>
            <w:gridSpan w:val="3"/>
            <w:tcBorders>
              <w:top w:val="single" w:sz="8" w:space="0" w:color="auto"/>
              <w:left w:val="single" w:sz="8" w:space="0" w:color="auto"/>
              <w:bottom w:val="single" w:sz="4" w:space="0" w:color="auto"/>
              <w:right w:val="single" w:sz="8" w:space="0" w:color="000000"/>
            </w:tcBorders>
            <w:shd w:val="clear" w:color="000000" w:fill="2F75B5"/>
            <w:noWrap/>
            <w:vAlign w:val="center"/>
            <w:hideMark/>
          </w:tcPr>
          <w:p w14:paraId="29B33A5E" w14:textId="77777777" w:rsidR="00367BF8" w:rsidRPr="009767FD" w:rsidRDefault="00367BF8" w:rsidP="001C2E96">
            <w:pPr>
              <w:spacing w:after="0" w:line="240" w:lineRule="auto"/>
              <w:jc w:val="center"/>
              <w:rPr>
                <w:rFonts w:ascii="Calibri" w:eastAsia="Times New Roman" w:hAnsi="Calibri" w:cs="Calibri"/>
                <w:b/>
                <w:bCs/>
                <w:color w:val="000000"/>
                <w:lang w:eastAsia="es-DO"/>
              </w:rPr>
            </w:pPr>
            <w:r w:rsidRPr="009767FD">
              <w:rPr>
                <w:rFonts w:ascii="Calibri" w:eastAsia="Times New Roman" w:hAnsi="Calibri" w:cs="Calibri"/>
                <w:b/>
                <w:bCs/>
                <w:color w:val="000000"/>
                <w:lang w:eastAsia="es-DO"/>
              </w:rPr>
              <w:t>LOTES DEL 1 AL 400</w:t>
            </w:r>
          </w:p>
        </w:tc>
      </w:tr>
      <w:tr w:rsidR="00367BF8" w:rsidRPr="009767FD" w14:paraId="67BF4E14" w14:textId="77777777" w:rsidTr="001C2E96">
        <w:trPr>
          <w:trHeight w:val="375"/>
        </w:trPr>
        <w:tc>
          <w:tcPr>
            <w:tcW w:w="2397" w:type="dxa"/>
            <w:tcBorders>
              <w:top w:val="nil"/>
              <w:left w:val="single" w:sz="8" w:space="0" w:color="auto"/>
              <w:bottom w:val="single" w:sz="4" w:space="0" w:color="auto"/>
              <w:right w:val="single" w:sz="4" w:space="0" w:color="auto"/>
            </w:tcBorders>
            <w:shd w:val="clear" w:color="000000" w:fill="BDD7EE"/>
            <w:noWrap/>
            <w:vAlign w:val="center"/>
            <w:hideMark/>
          </w:tcPr>
          <w:p w14:paraId="44A4CAC3" w14:textId="77777777" w:rsidR="00367BF8" w:rsidRPr="009767FD" w:rsidRDefault="00367BF8" w:rsidP="001C2E96">
            <w:pPr>
              <w:spacing w:after="0" w:line="240" w:lineRule="auto"/>
              <w:jc w:val="center"/>
              <w:rPr>
                <w:rFonts w:ascii="Calibri" w:eastAsia="Times New Roman" w:hAnsi="Calibri" w:cs="Calibri"/>
                <w:b/>
                <w:bCs/>
                <w:color w:val="000000"/>
                <w:sz w:val="28"/>
                <w:szCs w:val="28"/>
                <w:lang w:eastAsia="es-DO"/>
              </w:rPr>
            </w:pPr>
            <w:r w:rsidRPr="009767FD">
              <w:rPr>
                <w:rFonts w:ascii="Calibri" w:eastAsia="Times New Roman" w:hAnsi="Calibri" w:cs="Calibri"/>
                <w:b/>
                <w:bCs/>
                <w:color w:val="000000"/>
                <w:sz w:val="28"/>
                <w:szCs w:val="28"/>
                <w:lang w:eastAsia="es-DO"/>
              </w:rPr>
              <w:t>Producto</w:t>
            </w:r>
          </w:p>
        </w:tc>
        <w:tc>
          <w:tcPr>
            <w:tcW w:w="1160" w:type="dxa"/>
            <w:tcBorders>
              <w:top w:val="nil"/>
              <w:left w:val="nil"/>
              <w:bottom w:val="single" w:sz="4" w:space="0" w:color="auto"/>
              <w:right w:val="single" w:sz="4" w:space="0" w:color="auto"/>
            </w:tcBorders>
            <w:shd w:val="clear" w:color="000000" w:fill="BDD7EE"/>
            <w:noWrap/>
            <w:vAlign w:val="center"/>
            <w:hideMark/>
          </w:tcPr>
          <w:p w14:paraId="010367F2" w14:textId="77777777" w:rsidR="00367BF8" w:rsidRPr="009767FD" w:rsidRDefault="00367BF8" w:rsidP="001C2E96">
            <w:pPr>
              <w:spacing w:after="0" w:line="240" w:lineRule="auto"/>
              <w:jc w:val="center"/>
              <w:rPr>
                <w:rFonts w:ascii="Calibri" w:eastAsia="Times New Roman" w:hAnsi="Calibri" w:cs="Calibri"/>
                <w:b/>
                <w:bCs/>
                <w:color w:val="000000"/>
                <w:sz w:val="28"/>
                <w:szCs w:val="28"/>
                <w:lang w:eastAsia="es-DO"/>
              </w:rPr>
            </w:pPr>
            <w:r w:rsidRPr="009767FD">
              <w:rPr>
                <w:rFonts w:ascii="Calibri" w:eastAsia="Times New Roman" w:hAnsi="Calibri" w:cs="Calibri"/>
                <w:b/>
                <w:bCs/>
                <w:color w:val="000000"/>
                <w:sz w:val="28"/>
                <w:szCs w:val="28"/>
                <w:lang w:eastAsia="es-DO"/>
              </w:rPr>
              <w:t>Cantidad</w:t>
            </w:r>
          </w:p>
        </w:tc>
        <w:tc>
          <w:tcPr>
            <w:tcW w:w="1943" w:type="dxa"/>
            <w:tcBorders>
              <w:top w:val="nil"/>
              <w:left w:val="nil"/>
              <w:bottom w:val="single" w:sz="4" w:space="0" w:color="auto"/>
              <w:right w:val="single" w:sz="8" w:space="0" w:color="auto"/>
            </w:tcBorders>
            <w:shd w:val="clear" w:color="000000" w:fill="BDD7EE"/>
            <w:noWrap/>
            <w:vAlign w:val="center"/>
            <w:hideMark/>
          </w:tcPr>
          <w:p w14:paraId="7AB75EDD" w14:textId="77777777" w:rsidR="00367BF8" w:rsidRPr="009767FD" w:rsidRDefault="00367BF8" w:rsidP="001C2E96">
            <w:pPr>
              <w:spacing w:after="0" w:line="240" w:lineRule="auto"/>
              <w:jc w:val="center"/>
              <w:rPr>
                <w:rFonts w:ascii="Calibri" w:eastAsia="Times New Roman" w:hAnsi="Calibri" w:cs="Calibri"/>
                <w:b/>
                <w:bCs/>
                <w:color w:val="000000"/>
                <w:sz w:val="28"/>
                <w:szCs w:val="28"/>
                <w:lang w:eastAsia="es-DO"/>
              </w:rPr>
            </w:pPr>
            <w:r w:rsidRPr="009767FD">
              <w:rPr>
                <w:rFonts w:ascii="Calibri" w:eastAsia="Times New Roman" w:hAnsi="Calibri" w:cs="Calibri"/>
                <w:b/>
                <w:bCs/>
                <w:color w:val="000000"/>
                <w:sz w:val="28"/>
                <w:szCs w:val="28"/>
                <w:lang w:eastAsia="es-DO"/>
              </w:rPr>
              <w:t>Valor</w:t>
            </w:r>
          </w:p>
        </w:tc>
      </w:tr>
      <w:tr w:rsidR="00367BF8" w:rsidRPr="009767FD" w14:paraId="1DC9C269" w14:textId="77777777" w:rsidTr="001C2E96">
        <w:trPr>
          <w:trHeight w:val="510"/>
        </w:trPr>
        <w:tc>
          <w:tcPr>
            <w:tcW w:w="2397" w:type="dxa"/>
            <w:tcBorders>
              <w:top w:val="nil"/>
              <w:left w:val="single" w:sz="8" w:space="0" w:color="auto"/>
              <w:bottom w:val="single" w:sz="4" w:space="0" w:color="auto"/>
              <w:right w:val="single" w:sz="4" w:space="0" w:color="auto"/>
            </w:tcBorders>
            <w:shd w:val="clear" w:color="auto" w:fill="auto"/>
            <w:noWrap/>
            <w:vAlign w:val="center"/>
            <w:hideMark/>
          </w:tcPr>
          <w:p w14:paraId="31233C25" w14:textId="77777777" w:rsidR="00367BF8" w:rsidRPr="009767FD" w:rsidRDefault="00367BF8" w:rsidP="001C2E96">
            <w:pPr>
              <w:spacing w:after="0" w:line="240" w:lineRule="auto"/>
              <w:jc w:val="center"/>
              <w:rPr>
                <w:rFonts w:ascii="Calibri" w:eastAsia="Times New Roman" w:hAnsi="Calibri" w:cs="Calibri"/>
                <w:color w:val="000000"/>
                <w:sz w:val="24"/>
                <w:szCs w:val="24"/>
                <w:lang w:eastAsia="es-DO"/>
              </w:rPr>
            </w:pPr>
            <w:r w:rsidRPr="009767FD">
              <w:rPr>
                <w:rFonts w:ascii="Calibri" w:eastAsia="Times New Roman" w:hAnsi="Calibri" w:cs="Calibri"/>
                <w:color w:val="000000"/>
                <w:sz w:val="24"/>
                <w:szCs w:val="24"/>
                <w:lang w:eastAsia="es-DO"/>
              </w:rPr>
              <w:t>Mochila + Kit de Útiles</w:t>
            </w:r>
          </w:p>
        </w:tc>
        <w:tc>
          <w:tcPr>
            <w:tcW w:w="1160" w:type="dxa"/>
            <w:tcBorders>
              <w:top w:val="nil"/>
              <w:left w:val="nil"/>
              <w:bottom w:val="single" w:sz="4" w:space="0" w:color="auto"/>
              <w:right w:val="single" w:sz="4" w:space="0" w:color="auto"/>
            </w:tcBorders>
            <w:shd w:val="clear" w:color="auto" w:fill="auto"/>
            <w:noWrap/>
            <w:vAlign w:val="center"/>
            <w:hideMark/>
          </w:tcPr>
          <w:p w14:paraId="2FC719FB" w14:textId="77777777" w:rsidR="00367BF8" w:rsidRPr="009767FD" w:rsidRDefault="00367BF8" w:rsidP="001C2E96">
            <w:pPr>
              <w:spacing w:after="0" w:line="240" w:lineRule="auto"/>
              <w:jc w:val="center"/>
              <w:rPr>
                <w:rFonts w:ascii="Calibri" w:eastAsia="Times New Roman" w:hAnsi="Calibri" w:cs="Calibri"/>
                <w:color w:val="000000"/>
                <w:sz w:val="24"/>
                <w:szCs w:val="24"/>
                <w:lang w:eastAsia="es-DO"/>
              </w:rPr>
            </w:pPr>
            <w:r w:rsidRPr="009767FD">
              <w:rPr>
                <w:rFonts w:ascii="Calibri" w:eastAsia="Times New Roman" w:hAnsi="Calibri" w:cs="Calibri"/>
                <w:color w:val="000000"/>
                <w:sz w:val="24"/>
                <w:szCs w:val="24"/>
                <w:lang w:eastAsia="es-DO"/>
              </w:rPr>
              <w:t>1,701</w:t>
            </w:r>
          </w:p>
        </w:tc>
        <w:tc>
          <w:tcPr>
            <w:tcW w:w="1943" w:type="dxa"/>
            <w:tcBorders>
              <w:top w:val="nil"/>
              <w:left w:val="nil"/>
              <w:bottom w:val="single" w:sz="4" w:space="0" w:color="auto"/>
              <w:right w:val="single" w:sz="8" w:space="0" w:color="auto"/>
            </w:tcBorders>
            <w:shd w:val="clear" w:color="auto" w:fill="auto"/>
            <w:noWrap/>
            <w:vAlign w:val="center"/>
            <w:hideMark/>
          </w:tcPr>
          <w:p w14:paraId="043C710D" w14:textId="77777777" w:rsidR="00367BF8" w:rsidRPr="009767FD" w:rsidRDefault="00367BF8" w:rsidP="001C2E96">
            <w:pPr>
              <w:spacing w:after="0" w:line="240" w:lineRule="auto"/>
              <w:jc w:val="center"/>
              <w:rPr>
                <w:rFonts w:ascii="Calibri" w:eastAsia="Times New Roman" w:hAnsi="Calibri" w:cs="Calibri"/>
                <w:color w:val="000000"/>
                <w:sz w:val="24"/>
                <w:szCs w:val="24"/>
                <w:lang w:eastAsia="es-DO"/>
              </w:rPr>
            </w:pPr>
            <w:r w:rsidRPr="009767FD">
              <w:rPr>
                <w:rFonts w:ascii="Calibri" w:eastAsia="Times New Roman" w:hAnsi="Calibri" w:cs="Calibri"/>
                <w:color w:val="000000"/>
                <w:sz w:val="24"/>
                <w:szCs w:val="24"/>
                <w:lang w:eastAsia="es-DO"/>
              </w:rPr>
              <w:t xml:space="preserve"> RD$    680,507.00 </w:t>
            </w:r>
          </w:p>
        </w:tc>
      </w:tr>
      <w:tr w:rsidR="00367BF8" w:rsidRPr="009767FD" w14:paraId="4661DEB9" w14:textId="77777777" w:rsidTr="001C2E96">
        <w:trPr>
          <w:trHeight w:val="915"/>
        </w:trPr>
        <w:tc>
          <w:tcPr>
            <w:tcW w:w="5500" w:type="dxa"/>
            <w:gridSpan w:val="3"/>
            <w:tcBorders>
              <w:top w:val="single" w:sz="4" w:space="0" w:color="auto"/>
              <w:left w:val="single" w:sz="8" w:space="0" w:color="auto"/>
              <w:bottom w:val="single" w:sz="8" w:space="0" w:color="auto"/>
              <w:right w:val="single" w:sz="8" w:space="0" w:color="000000"/>
            </w:tcBorders>
            <w:shd w:val="clear" w:color="000000" w:fill="FFFF00"/>
            <w:vAlign w:val="center"/>
            <w:hideMark/>
          </w:tcPr>
          <w:p w14:paraId="603402F2" w14:textId="77777777" w:rsidR="00367BF8" w:rsidRPr="009767FD" w:rsidRDefault="00367BF8" w:rsidP="001C2E96">
            <w:pPr>
              <w:spacing w:after="0" w:line="240" w:lineRule="auto"/>
              <w:rPr>
                <w:rFonts w:ascii="Calibri" w:eastAsia="Times New Roman" w:hAnsi="Calibri" w:cs="Calibri"/>
                <w:color w:val="000000"/>
                <w:lang w:eastAsia="es-DO"/>
              </w:rPr>
            </w:pPr>
            <w:r w:rsidRPr="009767FD">
              <w:rPr>
                <w:rFonts w:ascii="Calibri" w:eastAsia="Times New Roman" w:hAnsi="Calibri" w:cs="Calibri"/>
                <w:color w:val="000000"/>
                <w:lang w:eastAsia="es-DO"/>
              </w:rPr>
              <w:t>Nota: Hay 400 lotes de mochilas. Cada lote es idéntico y contiene 1,701 mochilas, con un valor de RD$680,507.00 por lote.</w:t>
            </w:r>
          </w:p>
        </w:tc>
      </w:tr>
    </w:tbl>
    <w:p w14:paraId="72FD2164" w14:textId="77777777" w:rsidR="00367BF8" w:rsidRDefault="00367BF8" w:rsidP="00367BF8">
      <w:pPr>
        <w:rPr>
          <w:rFonts w:eastAsia="Times New Roman" w:cstheme="minorHAnsi"/>
          <w:color w:val="000000"/>
          <w:sz w:val="24"/>
          <w:szCs w:val="24"/>
          <w:lang w:eastAsia="es-DO"/>
        </w:rPr>
      </w:pPr>
    </w:p>
    <w:p w14:paraId="49902487" w14:textId="779A9A75" w:rsidR="002F14D5" w:rsidRPr="002F14D5" w:rsidRDefault="002F14D5" w:rsidP="00367BF8">
      <w:pPr>
        <w:pStyle w:val="ListParagraph"/>
        <w:numPr>
          <w:ilvl w:val="0"/>
          <w:numId w:val="5"/>
        </w:numPr>
        <w:ind w:left="284"/>
        <w:rPr>
          <w:rFonts w:eastAsia="Times New Roman" w:cstheme="minorHAnsi"/>
          <w:color w:val="000000"/>
          <w:sz w:val="24"/>
          <w:szCs w:val="24"/>
          <w:lang w:eastAsia="es-DO"/>
        </w:rPr>
      </w:pPr>
      <w:r w:rsidRPr="002F14D5">
        <w:rPr>
          <w:rFonts w:eastAsia="Times New Roman" w:cstheme="minorHAnsi"/>
          <w:color w:val="000000"/>
          <w:sz w:val="24"/>
          <w:szCs w:val="24"/>
          <w:lang w:eastAsia="es-DO"/>
        </w:rPr>
        <w:tab/>
      </w:r>
      <w:r w:rsidRPr="003B490E">
        <w:rPr>
          <w:rFonts w:eastAsia="Times New Roman" w:cstheme="minorHAnsi"/>
          <w:b/>
          <w:color w:val="000000"/>
          <w:sz w:val="24"/>
          <w:szCs w:val="24"/>
          <w:lang w:eastAsia="es-DO"/>
        </w:rPr>
        <w:t xml:space="preserve">Se </w:t>
      </w:r>
      <w:r w:rsidR="003B490E">
        <w:rPr>
          <w:rFonts w:eastAsia="Times New Roman" w:cstheme="minorHAnsi"/>
          <w:b/>
          <w:color w:val="000000"/>
          <w:sz w:val="24"/>
          <w:szCs w:val="24"/>
          <w:lang w:eastAsia="es-DO"/>
        </w:rPr>
        <w:t>modifica</w:t>
      </w:r>
      <w:r w:rsidRPr="003B490E">
        <w:rPr>
          <w:rFonts w:eastAsia="Times New Roman" w:cstheme="minorHAnsi"/>
          <w:b/>
          <w:color w:val="000000"/>
          <w:sz w:val="24"/>
          <w:szCs w:val="24"/>
          <w:lang w:eastAsia="es-DO"/>
        </w:rPr>
        <w:t>:</w:t>
      </w:r>
      <w:r w:rsidRPr="002F14D5">
        <w:rPr>
          <w:rFonts w:eastAsia="Times New Roman" w:cstheme="minorHAnsi"/>
          <w:color w:val="000000"/>
          <w:sz w:val="24"/>
          <w:szCs w:val="24"/>
          <w:lang w:eastAsia="es-DO"/>
        </w:rPr>
        <w:t xml:space="preserve"> En el numeral 2.8</w:t>
      </w:r>
      <w:r w:rsidR="003B490E">
        <w:rPr>
          <w:rFonts w:eastAsia="Times New Roman" w:cstheme="minorHAnsi"/>
          <w:color w:val="000000"/>
          <w:sz w:val="24"/>
          <w:szCs w:val="24"/>
          <w:lang w:eastAsia="es-DO"/>
        </w:rPr>
        <w:t>.1</w:t>
      </w:r>
      <w:r w:rsidRPr="002F14D5">
        <w:rPr>
          <w:rFonts w:eastAsia="Times New Roman" w:cstheme="minorHAnsi"/>
          <w:color w:val="000000"/>
          <w:sz w:val="24"/>
          <w:szCs w:val="24"/>
          <w:lang w:eastAsia="es-DO"/>
        </w:rPr>
        <w:t xml:space="preserve">, sobre Descripción de los Bienes, </w:t>
      </w:r>
      <w:r w:rsidR="003B490E">
        <w:rPr>
          <w:rFonts w:eastAsia="Times New Roman" w:cstheme="minorHAnsi"/>
          <w:color w:val="000000"/>
          <w:sz w:val="24"/>
          <w:szCs w:val="24"/>
          <w:lang w:eastAsia="es-DO"/>
        </w:rPr>
        <w:t xml:space="preserve">el punto 7, sobre </w:t>
      </w:r>
      <w:r w:rsidR="003B490E" w:rsidRPr="00BD4482">
        <w:rPr>
          <w:b/>
          <w:color w:val="000000" w:themeColor="text1"/>
        </w:rPr>
        <w:t>Descripción de los materiales con</w:t>
      </w:r>
      <w:r w:rsidR="003B490E">
        <w:rPr>
          <w:b/>
          <w:color w:val="000000" w:themeColor="text1"/>
        </w:rPr>
        <w:t>tenidos de las mochilas básicas</w:t>
      </w:r>
      <w:r w:rsidRPr="002F14D5">
        <w:rPr>
          <w:rFonts w:eastAsia="Times New Roman" w:cstheme="minorHAnsi"/>
          <w:color w:val="000000"/>
          <w:sz w:val="24"/>
          <w:szCs w:val="24"/>
          <w:lang w:eastAsia="es-DO"/>
        </w:rPr>
        <w:t>:</w:t>
      </w:r>
    </w:p>
    <w:tbl>
      <w:tblPr>
        <w:tblStyle w:val="TableGrid"/>
        <w:tblW w:w="0" w:type="auto"/>
        <w:tblLook w:val="04A0" w:firstRow="1" w:lastRow="0" w:firstColumn="1" w:lastColumn="0" w:noHBand="0" w:noVBand="1"/>
      </w:tblPr>
      <w:tblGrid>
        <w:gridCol w:w="1144"/>
        <w:gridCol w:w="5968"/>
      </w:tblGrid>
      <w:tr w:rsidR="002F14D5" w:rsidRPr="002F14D5" w14:paraId="76173CFF" w14:textId="77777777" w:rsidTr="002F14D5">
        <w:tc>
          <w:tcPr>
            <w:tcW w:w="1144" w:type="dxa"/>
          </w:tcPr>
          <w:p w14:paraId="7E4E3A55" w14:textId="77777777" w:rsidR="002F14D5" w:rsidRPr="002F14D5" w:rsidRDefault="002F14D5" w:rsidP="002F14D5">
            <w:pPr>
              <w:jc w:val="center"/>
              <w:rPr>
                <w:b/>
              </w:rPr>
            </w:pPr>
            <w:r w:rsidRPr="002F14D5">
              <w:rPr>
                <w:b/>
              </w:rPr>
              <w:t>Cantidad</w:t>
            </w:r>
          </w:p>
        </w:tc>
        <w:tc>
          <w:tcPr>
            <w:tcW w:w="5968" w:type="dxa"/>
          </w:tcPr>
          <w:p w14:paraId="1A20C44B" w14:textId="77777777" w:rsidR="002F14D5" w:rsidRPr="002F14D5" w:rsidRDefault="002F14D5" w:rsidP="002F14D5">
            <w:pPr>
              <w:rPr>
                <w:b/>
              </w:rPr>
            </w:pPr>
            <w:r w:rsidRPr="002F14D5">
              <w:rPr>
                <w:b/>
              </w:rPr>
              <w:t>Descripción de los materiales</w:t>
            </w:r>
          </w:p>
        </w:tc>
      </w:tr>
      <w:tr w:rsidR="002F14D5" w:rsidRPr="002F14D5" w14:paraId="3841FBDA" w14:textId="77777777" w:rsidTr="002F14D5">
        <w:tc>
          <w:tcPr>
            <w:tcW w:w="7112" w:type="dxa"/>
            <w:gridSpan w:val="2"/>
          </w:tcPr>
          <w:p w14:paraId="748BF4F9" w14:textId="77777777" w:rsidR="002F14D5" w:rsidRPr="002F14D5" w:rsidRDefault="002F14D5" w:rsidP="002F14D5"/>
        </w:tc>
      </w:tr>
      <w:tr w:rsidR="002F14D5" w:rsidRPr="002F14D5" w14:paraId="34CA8842" w14:textId="77777777" w:rsidTr="002F14D5">
        <w:tc>
          <w:tcPr>
            <w:tcW w:w="1144" w:type="dxa"/>
          </w:tcPr>
          <w:p w14:paraId="5667BCBA" w14:textId="77777777" w:rsidR="002F14D5" w:rsidRPr="002F14D5" w:rsidRDefault="002F14D5" w:rsidP="002F14D5">
            <w:pPr>
              <w:jc w:val="center"/>
            </w:pPr>
            <w:r w:rsidRPr="002F14D5">
              <w:t>3</w:t>
            </w:r>
          </w:p>
        </w:tc>
        <w:tc>
          <w:tcPr>
            <w:tcW w:w="5968" w:type="dxa"/>
          </w:tcPr>
          <w:p w14:paraId="64BFFFF0" w14:textId="77777777" w:rsidR="002F14D5" w:rsidRPr="002F14D5" w:rsidRDefault="002F14D5" w:rsidP="002F14D5">
            <w:r w:rsidRPr="002F14D5">
              <w:t xml:space="preserve">Cuaderno de hojas rayadas 7.75 x 9.5 pulgadas de 200 páginas, </w:t>
            </w:r>
            <w:r w:rsidRPr="002F14D5">
              <w:rPr>
                <w:color w:val="000000" w:themeColor="text1"/>
              </w:rPr>
              <w:t xml:space="preserve">Papel calibre Bond 20,  cosida, portada de cartón (calibre 24) con el  logo del Ministerio de Educación full color  impreso </w:t>
            </w:r>
            <w:r w:rsidRPr="002F14D5">
              <w:t xml:space="preserve">en la portada y el Himno Nacional impreso en la contraportada. </w:t>
            </w:r>
          </w:p>
        </w:tc>
      </w:tr>
      <w:tr w:rsidR="002F14D5" w:rsidRPr="002F14D5" w14:paraId="79088E7B" w14:textId="77777777" w:rsidTr="002F14D5">
        <w:tc>
          <w:tcPr>
            <w:tcW w:w="1144" w:type="dxa"/>
          </w:tcPr>
          <w:p w14:paraId="58DA1F4C" w14:textId="77777777" w:rsidR="002F14D5" w:rsidRPr="002F14D5" w:rsidRDefault="002F14D5" w:rsidP="002F14D5">
            <w:pPr>
              <w:jc w:val="center"/>
            </w:pPr>
            <w:r w:rsidRPr="002F14D5">
              <w:t>1</w:t>
            </w:r>
          </w:p>
        </w:tc>
        <w:tc>
          <w:tcPr>
            <w:tcW w:w="5968" w:type="dxa"/>
          </w:tcPr>
          <w:p w14:paraId="42EF7FD9" w14:textId="77777777" w:rsidR="002F14D5" w:rsidRPr="002F14D5" w:rsidRDefault="002F14D5" w:rsidP="002F14D5">
            <w:r w:rsidRPr="002F14D5">
              <w:t>Lápiz de carbón de  largo 190 mm,  diámetro 5 mm, Mina grafico resistente #2,  borrador de calidad superior que no manche el papel.</w:t>
            </w:r>
          </w:p>
        </w:tc>
      </w:tr>
      <w:tr w:rsidR="002F14D5" w:rsidRPr="002F14D5" w14:paraId="7D669680" w14:textId="77777777" w:rsidTr="002F14D5">
        <w:tc>
          <w:tcPr>
            <w:tcW w:w="1144" w:type="dxa"/>
          </w:tcPr>
          <w:p w14:paraId="584EFF0A" w14:textId="77777777" w:rsidR="002F14D5" w:rsidRPr="002F14D5" w:rsidRDefault="002F14D5" w:rsidP="002F14D5">
            <w:pPr>
              <w:jc w:val="center"/>
            </w:pPr>
            <w:r w:rsidRPr="002F14D5">
              <w:t>1</w:t>
            </w:r>
          </w:p>
        </w:tc>
        <w:tc>
          <w:tcPr>
            <w:tcW w:w="5968" w:type="dxa"/>
          </w:tcPr>
          <w:p w14:paraId="699B144C" w14:textId="77777777" w:rsidR="002F14D5" w:rsidRPr="002F14D5" w:rsidRDefault="002F14D5" w:rsidP="002F14D5">
            <w:r w:rsidRPr="002F14D5">
              <w:t>Caja de lápices de colores de madera, tamaño mediano, con 12 unidades de colores primarios.</w:t>
            </w:r>
          </w:p>
        </w:tc>
      </w:tr>
      <w:tr w:rsidR="002F14D5" w:rsidRPr="002F14D5" w14:paraId="12DF83B3" w14:textId="77777777" w:rsidTr="002F14D5">
        <w:tc>
          <w:tcPr>
            <w:tcW w:w="1144" w:type="dxa"/>
          </w:tcPr>
          <w:p w14:paraId="63A8A61B" w14:textId="77777777" w:rsidR="002F14D5" w:rsidRPr="002F14D5" w:rsidRDefault="002F14D5" w:rsidP="002F14D5">
            <w:pPr>
              <w:jc w:val="center"/>
            </w:pPr>
            <w:r w:rsidRPr="002F14D5">
              <w:t>1</w:t>
            </w:r>
          </w:p>
        </w:tc>
        <w:tc>
          <w:tcPr>
            <w:tcW w:w="5968" w:type="dxa"/>
          </w:tcPr>
          <w:p w14:paraId="57F95284" w14:textId="77777777" w:rsidR="002F14D5" w:rsidRPr="002F14D5" w:rsidRDefault="002F14D5" w:rsidP="002F14D5">
            <w:r w:rsidRPr="002F14D5">
              <w:t>Sacapuntas pequeño, en acero inoxidable, color plata, para lápiz de 5 mm diámetro.</w:t>
            </w:r>
          </w:p>
        </w:tc>
      </w:tr>
      <w:tr w:rsidR="002F14D5" w:rsidRPr="002F14D5" w14:paraId="3929DF40" w14:textId="77777777" w:rsidTr="002F14D5">
        <w:trPr>
          <w:trHeight w:val="346"/>
        </w:trPr>
        <w:tc>
          <w:tcPr>
            <w:tcW w:w="1144" w:type="dxa"/>
          </w:tcPr>
          <w:p w14:paraId="23CC132A" w14:textId="77777777" w:rsidR="002F14D5" w:rsidRPr="002F14D5" w:rsidRDefault="002F14D5" w:rsidP="002F14D5">
            <w:pPr>
              <w:jc w:val="center"/>
            </w:pPr>
            <w:r w:rsidRPr="002F14D5">
              <w:t>1</w:t>
            </w:r>
          </w:p>
        </w:tc>
        <w:tc>
          <w:tcPr>
            <w:tcW w:w="5968" w:type="dxa"/>
          </w:tcPr>
          <w:p w14:paraId="67080161" w14:textId="77777777" w:rsidR="002F14D5" w:rsidRPr="002F14D5" w:rsidRDefault="002F14D5" w:rsidP="002F14D5">
            <w:r w:rsidRPr="002F14D5">
              <w:t>Goma de borrar de leche tamaño grande, no dañe el papel, libre de PVC, color blanco, no tóxico.</w:t>
            </w:r>
          </w:p>
        </w:tc>
      </w:tr>
      <w:tr w:rsidR="002F14D5" w:rsidRPr="002F14D5" w14:paraId="2E8BF058" w14:textId="77777777" w:rsidTr="002F14D5">
        <w:tc>
          <w:tcPr>
            <w:tcW w:w="1144" w:type="dxa"/>
          </w:tcPr>
          <w:p w14:paraId="16665B24" w14:textId="77777777" w:rsidR="002F14D5" w:rsidRPr="002F14D5" w:rsidRDefault="002F14D5" w:rsidP="002F14D5">
            <w:pPr>
              <w:jc w:val="center"/>
            </w:pPr>
            <w:r w:rsidRPr="002F14D5">
              <w:t>1</w:t>
            </w:r>
          </w:p>
        </w:tc>
        <w:tc>
          <w:tcPr>
            <w:tcW w:w="5968" w:type="dxa"/>
          </w:tcPr>
          <w:p w14:paraId="6FC33317" w14:textId="77777777" w:rsidR="002F14D5" w:rsidRPr="002F14D5" w:rsidRDefault="002F14D5" w:rsidP="002F14D5">
            <w:r w:rsidRPr="002F14D5">
              <w:t>Juego de cartabón, de cuatro piezas, en plástico, flexible y transparente. Regla de 20 cm. Transportador  de 180º, triangulo 45º x60 º</w:t>
            </w:r>
          </w:p>
        </w:tc>
      </w:tr>
    </w:tbl>
    <w:p w14:paraId="64B8AD7C" w14:textId="77777777" w:rsidR="00367BF8" w:rsidRPr="00367BF8" w:rsidRDefault="00367BF8" w:rsidP="00367BF8">
      <w:pPr>
        <w:pStyle w:val="ListParagraph"/>
        <w:ind w:left="0"/>
        <w:jc w:val="both"/>
        <w:rPr>
          <w:rFonts w:eastAsia="Times New Roman" w:cstheme="minorHAnsi"/>
          <w:color w:val="000000"/>
          <w:sz w:val="24"/>
          <w:szCs w:val="24"/>
          <w:lang w:eastAsia="es-DO"/>
        </w:rPr>
      </w:pPr>
    </w:p>
    <w:p w14:paraId="55A2C5F6" w14:textId="79996AF2" w:rsidR="00367BF8" w:rsidRDefault="00367BF8" w:rsidP="006000F9">
      <w:pPr>
        <w:pStyle w:val="ListParagraph"/>
        <w:numPr>
          <w:ilvl w:val="0"/>
          <w:numId w:val="5"/>
        </w:numPr>
        <w:ind w:left="0" w:firstLine="0"/>
        <w:jc w:val="both"/>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modifica:</w:t>
      </w:r>
      <w:r>
        <w:rPr>
          <w:rFonts w:eastAsia="Times New Roman" w:cstheme="minorHAnsi"/>
          <w:color w:val="000000"/>
          <w:sz w:val="24"/>
          <w:szCs w:val="24"/>
          <w:lang w:eastAsia="es-DO"/>
        </w:rPr>
        <w:t xml:space="preserve"> El numeral 2.10, sobre Programa de Suministro, que en lo adelante, dirá de la forma siguiente: </w:t>
      </w:r>
    </w:p>
    <w:p w14:paraId="7AF08844" w14:textId="79003B35" w:rsidR="00367BF8" w:rsidRDefault="00367BF8" w:rsidP="00367BF8">
      <w:pPr>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lastRenderedPageBreak/>
        <w:t xml:space="preserve">Los pedidos se recibirán en </w:t>
      </w:r>
      <w:r w:rsidR="009A5122">
        <w:rPr>
          <w:rFonts w:eastAsia="Times New Roman" w:cstheme="minorHAnsi"/>
          <w:color w:val="000000"/>
          <w:sz w:val="24"/>
          <w:szCs w:val="24"/>
          <w:lang w:eastAsia="es-DO"/>
        </w:rPr>
        <w:t>los almacenes de</w:t>
      </w:r>
      <w:r w:rsidRPr="00367BF8">
        <w:rPr>
          <w:rFonts w:eastAsia="Times New Roman" w:cstheme="minorHAnsi"/>
          <w:color w:val="000000"/>
          <w:sz w:val="24"/>
          <w:szCs w:val="24"/>
          <w:lang w:eastAsia="es-DO"/>
        </w:rPr>
        <w:t xml:space="preserve"> la Entidad Contratante </w:t>
      </w:r>
      <w:r w:rsidR="009A5122">
        <w:rPr>
          <w:rFonts w:eastAsia="Times New Roman" w:cstheme="minorHAnsi"/>
          <w:color w:val="000000"/>
          <w:sz w:val="24"/>
          <w:szCs w:val="24"/>
          <w:lang w:eastAsia="es-DO"/>
        </w:rPr>
        <w:t xml:space="preserve">(INABIE), </w:t>
      </w:r>
      <w:r w:rsidRPr="00367BF8">
        <w:rPr>
          <w:rFonts w:eastAsia="Times New Roman" w:cstheme="minorHAnsi"/>
          <w:color w:val="000000"/>
          <w:sz w:val="24"/>
          <w:szCs w:val="24"/>
          <w:lang w:eastAsia="es-DO"/>
        </w:rPr>
        <w:t>dentro del ámbito territorial de la República Dominicana y conforme al Cronograma de Entrega establecido.</w:t>
      </w:r>
    </w:p>
    <w:p w14:paraId="0DA8AC32" w14:textId="285794DA" w:rsidR="00367BF8" w:rsidRPr="00367BF8" w:rsidRDefault="00367BF8" w:rsidP="00367BF8">
      <w:pPr>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para los adjudicatarios, será el siguiente:</w:t>
      </w:r>
    </w:p>
    <w:tbl>
      <w:tblPr>
        <w:tblW w:w="5680" w:type="dxa"/>
        <w:jc w:val="center"/>
        <w:tblCellMar>
          <w:left w:w="70" w:type="dxa"/>
          <w:right w:w="70" w:type="dxa"/>
        </w:tblCellMar>
        <w:tblLook w:val="04A0" w:firstRow="1" w:lastRow="0" w:firstColumn="1" w:lastColumn="0" w:noHBand="0" w:noVBand="1"/>
      </w:tblPr>
      <w:tblGrid>
        <w:gridCol w:w="2120"/>
        <w:gridCol w:w="1680"/>
        <w:gridCol w:w="1880"/>
      </w:tblGrid>
      <w:tr w:rsidR="00367BF8" w:rsidRPr="00367BF8" w14:paraId="6E461828" w14:textId="77777777" w:rsidTr="00367BF8">
        <w:trPr>
          <w:trHeight w:val="300"/>
          <w:jc w:val="center"/>
        </w:trPr>
        <w:tc>
          <w:tcPr>
            <w:tcW w:w="2120" w:type="dxa"/>
            <w:tcBorders>
              <w:top w:val="nil"/>
              <w:left w:val="nil"/>
              <w:bottom w:val="nil"/>
              <w:right w:val="nil"/>
            </w:tcBorders>
            <w:shd w:val="clear" w:color="auto" w:fill="auto"/>
            <w:noWrap/>
            <w:vAlign w:val="bottom"/>
            <w:hideMark/>
          </w:tcPr>
          <w:p w14:paraId="7AFCF50A" w14:textId="43B85415" w:rsidR="00367BF8" w:rsidRPr="00367BF8" w:rsidRDefault="00367BF8" w:rsidP="00367BF8">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14:paraId="5551791E" w14:textId="77777777" w:rsidR="00367BF8" w:rsidRPr="00367BF8" w:rsidRDefault="00367BF8" w:rsidP="00367BF8">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14:paraId="31A050BC"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r>
      <w:tr w:rsidR="00367BF8" w:rsidRPr="00367BF8" w14:paraId="19919721" w14:textId="77777777" w:rsidTr="00367BF8">
        <w:trPr>
          <w:trHeight w:val="300"/>
          <w:jc w:val="center"/>
        </w:trPr>
        <w:tc>
          <w:tcPr>
            <w:tcW w:w="2120" w:type="dxa"/>
            <w:tcBorders>
              <w:top w:val="nil"/>
              <w:left w:val="nil"/>
              <w:bottom w:val="nil"/>
              <w:right w:val="nil"/>
            </w:tcBorders>
            <w:shd w:val="clear" w:color="auto" w:fill="auto"/>
            <w:noWrap/>
            <w:vAlign w:val="bottom"/>
            <w:hideMark/>
          </w:tcPr>
          <w:p w14:paraId="1219AAE6"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14:paraId="7DBDF079"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14:paraId="7ABF57A0"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r>
      <w:tr w:rsidR="00367BF8" w:rsidRPr="00367BF8" w14:paraId="27A6714E" w14:textId="77777777" w:rsidTr="00367BF8">
        <w:trPr>
          <w:trHeight w:val="300"/>
          <w:jc w:val="center"/>
        </w:trPr>
        <w:tc>
          <w:tcPr>
            <w:tcW w:w="2120" w:type="dxa"/>
            <w:tcBorders>
              <w:top w:val="nil"/>
              <w:left w:val="nil"/>
              <w:bottom w:val="nil"/>
              <w:right w:val="nil"/>
            </w:tcBorders>
            <w:shd w:val="clear" w:color="auto" w:fill="auto"/>
            <w:noWrap/>
            <w:vAlign w:val="bottom"/>
            <w:hideMark/>
          </w:tcPr>
          <w:p w14:paraId="492F19FC" w14:textId="77777777" w:rsidR="00367BF8" w:rsidRPr="00367BF8" w:rsidRDefault="00367BF8" w:rsidP="00367BF8">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14:paraId="2F04AA5F"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14:paraId="6108BF79"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r>
      <w:tr w:rsidR="00367BF8" w:rsidRPr="00367BF8" w14:paraId="33FB9363" w14:textId="77777777" w:rsidTr="00367BF8">
        <w:trPr>
          <w:trHeight w:val="300"/>
          <w:jc w:val="center"/>
        </w:trPr>
        <w:tc>
          <w:tcPr>
            <w:tcW w:w="2120" w:type="dxa"/>
            <w:tcBorders>
              <w:top w:val="nil"/>
              <w:left w:val="nil"/>
              <w:bottom w:val="nil"/>
              <w:right w:val="nil"/>
            </w:tcBorders>
            <w:shd w:val="clear" w:color="auto" w:fill="auto"/>
            <w:noWrap/>
            <w:vAlign w:val="bottom"/>
            <w:hideMark/>
          </w:tcPr>
          <w:p w14:paraId="375589D7"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MIPYMES </w:t>
            </w:r>
          </w:p>
        </w:tc>
        <w:tc>
          <w:tcPr>
            <w:tcW w:w="1680" w:type="dxa"/>
            <w:tcBorders>
              <w:top w:val="nil"/>
              <w:left w:val="nil"/>
              <w:bottom w:val="nil"/>
              <w:right w:val="nil"/>
            </w:tcBorders>
            <w:shd w:val="clear" w:color="auto" w:fill="auto"/>
            <w:noWrap/>
            <w:vAlign w:val="bottom"/>
            <w:hideMark/>
          </w:tcPr>
          <w:p w14:paraId="6795C20A" w14:textId="77777777" w:rsidR="00367BF8" w:rsidRPr="00367BF8" w:rsidRDefault="00367BF8" w:rsidP="00367BF8">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14:paraId="7741D7AA"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r>
      <w:tr w:rsidR="00367BF8" w:rsidRPr="00367BF8" w14:paraId="6ECEDB30" w14:textId="77777777" w:rsidTr="00367BF8">
        <w:trPr>
          <w:trHeight w:val="300"/>
          <w:jc w:val="center"/>
        </w:trPr>
        <w:tc>
          <w:tcPr>
            <w:tcW w:w="2120" w:type="dxa"/>
            <w:tcBorders>
              <w:top w:val="nil"/>
              <w:left w:val="nil"/>
              <w:bottom w:val="nil"/>
              <w:right w:val="nil"/>
            </w:tcBorders>
            <w:shd w:val="clear" w:color="auto" w:fill="auto"/>
            <w:noWrap/>
            <w:vAlign w:val="bottom"/>
            <w:hideMark/>
          </w:tcPr>
          <w:p w14:paraId="555215E7"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14:paraId="491F300F"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14:paraId="4C8393ED" w14:textId="77777777" w:rsidR="00367BF8" w:rsidRPr="00367BF8" w:rsidRDefault="00367BF8" w:rsidP="00367BF8">
            <w:pPr>
              <w:spacing w:after="0" w:line="240" w:lineRule="auto"/>
              <w:rPr>
                <w:rFonts w:ascii="Times New Roman" w:eastAsia="Times New Roman" w:hAnsi="Times New Roman" w:cs="Times New Roman"/>
                <w:sz w:val="20"/>
                <w:szCs w:val="20"/>
                <w:lang w:eastAsia="es-DO"/>
              </w:rPr>
            </w:pPr>
          </w:p>
        </w:tc>
      </w:tr>
      <w:tr w:rsidR="00367BF8" w:rsidRPr="00367BF8" w14:paraId="7D3FED1D" w14:textId="77777777" w:rsidTr="00367BF8">
        <w:trPr>
          <w:trHeight w:val="600"/>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10BBB674" w14:textId="77777777" w:rsidR="00367BF8" w:rsidRPr="00367BF8" w:rsidRDefault="00367BF8" w:rsidP="00367BF8">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14:paraId="0C5336EB" w14:textId="77777777" w:rsidR="00367BF8" w:rsidRPr="00367BF8" w:rsidRDefault="00367BF8" w:rsidP="00367BF8">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1880" w:type="dxa"/>
            <w:tcBorders>
              <w:top w:val="single" w:sz="4" w:space="0" w:color="auto"/>
              <w:left w:val="nil"/>
              <w:bottom w:val="single" w:sz="4" w:space="0" w:color="auto"/>
              <w:right w:val="single" w:sz="4" w:space="0" w:color="auto"/>
            </w:tcBorders>
            <w:shd w:val="clear" w:color="000000" w:fill="1F4E78"/>
            <w:vAlign w:val="bottom"/>
            <w:hideMark/>
          </w:tcPr>
          <w:p w14:paraId="6F6E8061" w14:textId="77777777" w:rsidR="00367BF8" w:rsidRPr="00367BF8" w:rsidRDefault="00367BF8" w:rsidP="00367BF8">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de  entrega </w:t>
            </w:r>
          </w:p>
        </w:tc>
      </w:tr>
      <w:tr w:rsidR="00367BF8" w:rsidRPr="00367BF8" w14:paraId="4C1D3390" w14:textId="77777777" w:rsidTr="00367BF8">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87876AF"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14:paraId="606DE8DF" w14:textId="77777777" w:rsidR="00367BF8" w:rsidRPr="00367BF8" w:rsidRDefault="00367BF8" w:rsidP="00367BF8">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14:paraId="738B8FEC"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367BF8" w:rsidRPr="00367BF8" w14:paraId="02D67A45" w14:textId="77777777" w:rsidTr="00367BF8">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7500BA2"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14:paraId="74DB040A" w14:textId="77777777" w:rsidR="00367BF8" w:rsidRPr="00367BF8" w:rsidRDefault="00367BF8" w:rsidP="00367BF8">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14:paraId="1136EAB2"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367BF8" w:rsidRPr="00367BF8" w14:paraId="78095FEF" w14:textId="77777777" w:rsidTr="00367BF8">
        <w:trPr>
          <w:trHeight w:val="705"/>
          <w:jc w:val="center"/>
        </w:trPr>
        <w:tc>
          <w:tcPr>
            <w:tcW w:w="5680" w:type="dxa"/>
            <w:gridSpan w:val="3"/>
            <w:tcBorders>
              <w:top w:val="single" w:sz="4" w:space="0" w:color="auto"/>
              <w:left w:val="nil"/>
              <w:bottom w:val="nil"/>
              <w:right w:val="nil"/>
            </w:tcBorders>
            <w:shd w:val="clear" w:color="auto" w:fill="auto"/>
            <w:vAlign w:val="bottom"/>
            <w:hideMark/>
          </w:tcPr>
          <w:p w14:paraId="791D671B" w14:textId="77777777" w:rsidR="00367BF8" w:rsidRPr="00367BF8" w:rsidRDefault="00367BF8" w:rsidP="00367BF8">
            <w:pPr>
              <w:spacing w:after="0" w:line="240" w:lineRule="auto"/>
              <w:rPr>
                <w:rFonts w:ascii="Calibri" w:eastAsia="Times New Roman" w:hAnsi="Calibri" w:cs="Calibri"/>
                <w:color w:val="000000"/>
                <w:lang w:eastAsia="es-DO"/>
              </w:rPr>
            </w:pPr>
            <w:r w:rsidRPr="00367BF8">
              <w:rPr>
                <w:rFonts w:ascii="Calibri" w:eastAsia="Times New Roman" w:hAnsi="Calibri" w:cs="Calibri"/>
                <w:b/>
                <w:color w:val="000000"/>
                <w:lang w:eastAsia="es-DO"/>
              </w:rPr>
              <w:t>Nota:</w:t>
            </w:r>
            <w:r w:rsidRPr="00367BF8">
              <w:rPr>
                <w:rFonts w:ascii="Calibri" w:eastAsia="Times New Roman" w:hAnsi="Calibri" w:cs="Calibri"/>
                <w:color w:val="000000"/>
                <w:lang w:eastAsia="es-DO"/>
              </w:rPr>
              <w:t xml:space="preserve"> Cada  entrega se debe hacer con la proporción de tallas correspondientes.</w:t>
            </w:r>
          </w:p>
        </w:tc>
      </w:tr>
    </w:tbl>
    <w:p w14:paraId="2E5D9AAA" w14:textId="77777777" w:rsidR="00367BF8" w:rsidRPr="00367BF8" w:rsidRDefault="00367BF8" w:rsidP="00367BF8">
      <w:pPr>
        <w:jc w:val="both"/>
        <w:rPr>
          <w:rFonts w:eastAsia="Times New Roman" w:cstheme="minorHAnsi"/>
          <w:color w:val="000000"/>
          <w:sz w:val="24"/>
          <w:szCs w:val="24"/>
          <w:lang w:eastAsia="es-DO"/>
        </w:rPr>
      </w:pPr>
    </w:p>
    <w:p w14:paraId="67277A86" w14:textId="77777777" w:rsidR="008367CD" w:rsidRPr="006000F9" w:rsidRDefault="008367CD" w:rsidP="006000F9">
      <w:pPr>
        <w:pStyle w:val="ListParagraph"/>
        <w:numPr>
          <w:ilvl w:val="0"/>
          <w:numId w:val="5"/>
        </w:numPr>
        <w:ind w:left="0" w:firstLine="0"/>
        <w:jc w:val="both"/>
        <w:rPr>
          <w:rFonts w:eastAsia="Times New Roman" w:cstheme="minorHAnsi"/>
          <w:color w:val="000000"/>
          <w:sz w:val="24"/>
          <w:szCs w:val="24"/>
          <w:lang w:eastAsia="es-DO"/>
        </w:rPr>
      </w:pPr>
      <w:r w:rsidRPr="006000F9">
        <w:rPr>
          <w:rFonts w:eastAsia="Times New Roman" w:cstheme="minorHAnsi"/>
          <w:b/>
          <w:color w:val="000000"/>
          <w:sz w:val="24"/>
          <w:szCs w:val="24"/>
          <w:lang w:eastAsia="es-DO"/>
        </w:rPr>
        <w:t xml:space="preserve">Se elimina: </w:t>
      </w:r>
      <w:r w:rsidRPr="006000F9">
        <w:rPr>
          <w:rFonts w:eastAsia="Times New Roman" w:cstheme="minorHAnsi"/>
          <w:color w:val="000000"/>
          <w:sz w:val="24"/>
          <w:szCs w:val="24"/>
          <w:lang w:eastAsia="es-DO"/>
        </w:rPr>
        <w:t xml:space="preserve">El </w:t>
      </w:r>
      <w:r w:rsidR="00EB3501" w:rsidRPr="006000F9">
        <w:rPr>
          <w:rFonts w:eastAsia="Times New Roman" w:cstheme="minorHAnsi"/>
          <w:color w:val="000000"/>
          <w:sz w:val="24"/>
          <w:szCs w:val="24"/>
          <w:lang w:eastAsia="es-DO"/>
        </w:rPr>
        <w:t>numeral</w:t>
      </w:r>
      <w:r w:rsidRPr="006000F9">
        <w:rPr>
          <w:rFonts w:eastAsia="Times New Roman" w:cstheme="minorHAnsi"/>
          <w:color w:val="000000"/>
          <w:sz w:val="24"/>
          <w:szCs w:val="24"/>
          <w:lang w:eastAsia="es-DO"/>
        </w:rPr>
        <w:t xml:space="preserve"> 3.4.1 sobre Situación Financiera.</w:t>
      </w:r>
    </w:p>
    <w:p w14:paraId="7094466F" w14:textId="77777777" w:rsidR="00522685" w:rsidRPr="006000F9" w:rsidRDefault="00522685" w:rsidP="006000F9">
      <w:pPr>
        <w:pStyle w:val="ListParagraph"/>
        <w:ind w:left="0"/>
        <w:jc w:val="both"/>
        <w:rPr>
          <w:rFonts w:eastAsia="Times New Roman" w:cstheme="minorHAnsi"/>
          <w:color w:val="000000"/>
          <w:sz w:val="24"/>
          <w:szCs w:val="24"/>
          <w:lang w:eastAsia="es-DO"/>
        </w:rPr>
      </w:pPr>
    </w:p>
    <w:p w14:paraId="035F15C7" w14:textId="77777777" w:rsidR="001C2E6E" w:rsidRPr="009A208F" w:rsidRDefault="001C2E6E" w:rsidP="009A208F">
      <w:pPr>
        <w:pStyle w:val="ListParagraph"/>
        <w:numPr>
          <w:ilvl w:val="0"/>
          <w:numId w:val="5"/>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El </w:t>
      </w:r>
      <w:r w:rsidR="00C30A4F" w:rsidRPr="006000F9">
        <w:rPr>
          <w:rFonts w:eastAsia="Times New Roman" w:cstheme="minorHAnsi"/>
          <w:color w:val="000000"/>
          <w:sz w:val="24"/>
          <w:szCs w:val="24"/>
          <w:lang w:eastAsia="es-DO"/>
        </w:rPr>
        <w:t xml:space="preserve">primer párrafo del </w:t>
      </w:r>
      <w:r w:rsidRPr="006000F9">
        <w:rPr>
          <w:rFonts w:eastAsia="Times New Roman" w:cstheme="minorHAnsi"/>
          <w:color w:val="000000"/>
          <w:sz w:val="24"/>
          <w:szCs w:val="24"/>
          <w:lang w:eastAsia="es-DO"/>
        </w:rPr>
        <w:t>numeral 3.8 sobre Plazo de Mantenimiento de la Oferta, que en lo adelante, dirá de la forma siguiente:</w:t>
      </w:r>
    </w:p>
    <w:p w14:paraId="71D313BC" w14:textId="77777777" w:rsidR="00140634" w:rsidRPr="006000F9" w:rsidRDefault="001C2E6E" w:rsidP="006000F9">
      <w:pPr>
        <w:jc w:val="both"/>
        <w:rPr>
          <w:rFonts w:eastAsia="Times New Roman" w:cstheme="minorHAnsi"/>
          <w:color w:val="000000"/>
          <w:sz w:val="24"/>
          <w:szCs w:val="24"/>
          <w:lang w:eastAsia="es-DO"/>
        </w:rPr>
      </w:pPr>
      <w:r w:rsidRPr="006000F9">
        <w:rPr>
          <w:rFonts w:eastAsia="Times New Roman" w:cstheme="minorHAnsi"/>
          <w:color w:val="000000"/>
          <w:sz w:val="24"/>
          <w:szCs w:val="24"/>
          <w:lang w:eastAsia="es-DO"/>
        </w:rPr>
        <w:t xml:space="preserve">Según establece el Artículo 115 del Reglamento 543-12, los Oferentes/Proponentes deberán mantener las Ofertas por el término de setenta y dos (72) días hábiles (laborables) contados a partir de la fecha del acto de apertura realizado el Viernes 27 de diciembre hasta el 17 de marzo de </w:t>
      </w:r>
      <w:r w:rsidRPr="009A5122">
        <w:rPr>
          <w:rFonts w:eastAsia="Times New Roman" w:cstheme="minorHAnsi"/>
          <w:b/>
          <w:color w:val="000000"/>
          <w:sz w:val="24"/>
          <w:szCs w:val="24"/>
          <w:highlight w:val="yellow"/>
          <w:lang w:eastAsia="es-DO"/>
        </w:rPr>
        <w:t>2020</w:t>
      </w:r>
      <w:r w:rsidRPr="006000F9">
        <w:rPr>
          <w:rFonts w:eastAsia="Times New Roman" w:cstheme="minorHAnsi"/>
          <w:color w:val="000000"/>
          <w:sz w:val="24"/>
          <w:szCs w:val="24"/>
          <w:lang w:eastAsia="es-DO"/>
        </w:rPr>
        <w:t>, fecha en la cual se habrá publicado los Oferentes que resulten adjudicatarios y se habrá constituido la Garantía de Fiel Cumplimiento del Contrato. Si no manifiesta en forma fehaciente su voluntad de no renovar la Oferta con una antelación mínima de diez (10) días hábiles al vencimiento del plazo, aquella se considerará prorrogada automáticamente por el mismo plazo original o el que fije la Entidad Contratante y así sucesivamente.</w:t>
      </w:r>
    </w:p>
    <w:p w14:paraId="49A90616" w14:textId="77777777" w:rsidR="006A6C4A" w:rsidRPr="006000F9" w:rsidRDefault="006A6C4A" w:rsidP="006000F9">
      <w:pPr>
        <w:pStyle w:val="ListParagraph"/>
        <w:numPr>
          <w:ilvl w:val="0"/>
          <w:numId w:val="5"/>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El artículo 4.1, Criterios de Adjudicación, que en lo adelante, dirá de la forma siguiente:</w:t>
      </w:r>
    </w:p>
    <w:p w14:paraId="117E783B" w14:textId="4A7F527E" w:rsidR="009A5122"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14:paraId="18EC61BC" w14:textId="77777777" w:rsidR="009A5122" w:rsidRPr="00215CA7" w:rsidRDefault="009A5122" w:rsidP="00215CA7">
      <w:pPr>
        <w:jc w:val="both"/>
        <w:rPr>
          <w:rFonts w:eastAsia="Times New Roman" w:cstheme="minorHAnsi"/>
          <w:color w:val="000000"/>
          <w:sz w:val="24"/>
          <w:szCs w:val="24"/>
          <w:lang w:eastAsia="es-DO"/>
        </w:rPr>
      </w:pPr>
    </w:p>
    <w:p w14:paraId="7249F2B3" w14:textId="5BFC4C91"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lastRenderedPageBreak/>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14:paraId="43B7F0D5" w14:textId="49AB2BD3"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14:paraId="282C4BC4" w14:textId="5E2CDA9A"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Capacidad Productiva (CP) (Maquinarias y Procesos): Representa por lo menos el 80% de la capacidad instalada total de la empresa y se mide a partir de la visita  técnica y el formulario de capacidad instalada en función de las maquinarias y ár</w:t>
      </w:r>
      <w:r>
        <w:rPr>
          <w:rFonts w:eastAsia="Times New Roman" w:cstheme="minorHAnsi"/>
          <w:color w:val="000000"/>
          <w:sz w:val="24"/>
          <w:szCs w:val="24"/>
          <w:lang w:eastAsia="es-DO"/>
        </w:rPr>
        <w:t xml:space="preserve">eas productivas identificadas. </w:t>
      </w:r>
    </w:p>
    <w:p w14:paraId="6EF31E56" w14:textId="04D91A09" w:rsidR="00215CA7" w:rsidRPr="009A5122" w:rsidRDefault="00215CA7" w:rsidP="00215CA7">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El ochenta por ciento (80 %) de la capacidad productiva está dist</w:t>
      </w:r>
      <w:r w:rsidRPr="009A5122">
        <w:rPr>
          <w:rFonts w:eastAsia="Times New Roman" w:cstheme="minorHAnsi"/>
          <w:color w:val="000000"/>
          <w:sz w:val="24"/>
          <w:szCs w:val="24"/>
          <w:highlight w:val="yellow"/>
          <w:lang w:eastAsia="es-DO"/>
        </w:rPr>
        <w:t>ribuida de la siguiente manera:</w:t>
      </w:r>
    </w:p>
    <w:p w14:paraId="7FDFB2D0" w14:textId="2E7B46C6" w:rsidR="00215CA7" w:rsidRPr="009A5122" w:rsidRDefault="00215CA7" w:rsidP="00215CA7">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Capacidad instalada [</w:t>
      </w:r>
      <w:r w:rsidRPr="009A5122">
        <w:rPr>
          <w:rFonts w:eastAsia="Times New Roman" w:cstheme="minorHAnsi"/>
          <w:color w:val="000000"/>
          <w:sz w:val="24"/>
          <w:szCs w:val="24"/>
          <w:highlight w:val="yellow"/>
          <w:lang w:eastAsia="es-DO"/>
        </w:rPr>
        <w:t>maquinarias 25 %, proceso de distribución modular 15%, proceso de muestra 5%].</w:t>
      </w:r>
    </w:p>
    <w:p w14:paraId="43DBD338" w14:textId="77777777" w:rsidR="00215CA7" w:rsidRPr="009A5122" w:rsidRDefault="00215CA7" w:rsidP="00215CA7">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patrones: 15 %</w:t>
      </w:r>
    </w:p>
    <w:p w14:paraId="6342D658" w14:textId="77777777" w:rsidR="00215CA7" w:rsidRPr="009A5122" w:rsidRDefault="00215CA7" w:rsidP="00215CA7">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Corte: 5 %</w:t>
      </w:r>
    </w:p>
    <w:p w14:paraId="1625E75B" w14:textId="77777777" w:rsidR="00215CA7" w:rsidRPr="009A5122" w:rsidRDefault="00215CA7" w:rsidP="00215CA7">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Proceso de Confección: 10 %</w:t>
      </w:r>
    </w:p>
    <w:p w14:paraId="47294B6D" w14:textId="77777777" w:rsidR="00215CA7" w:rsidRPr="009A5122" w:rsidRDefault="00215CA7" w:rsidP="00215CA7">
      <w:pPr>
        <w:spacing w:after="0"/>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 xml:space="preserve">Proceso de Terminación: 5 % </w:t>
      </w:r>
    </w:p>
    <w:p w14:paraId="1920C003" w14:textId="65C90209" w:rsidR="00215CA7" w:rsidRDefault="00215CA7" w:rsidP="00215CA7">
      <w:pPr>
        <w:spacing w:after="0"/>
        <w:jc w:val="both"/>
        <w:rPr>
          <w:rFonts w:eastAsia="Times New Roman" w:cstheme="minorHAnsi"/>
          <w:color w:val="000000"/>
          <w:sz w:val="24"/>
          <w:szCs w:val="24"/>
          <w:lang w:eastAsia="es-DO"/>
        </w:rPr>
      </w:pPr>
      <w:r w:rsidRPr="009A5122">
        <w:rPr>
          <w:rFonts w:eastAsia="Times New Roman" w:cstheme="minorHAnsi"/>
          <w:color w:val="000000"/>
          <w:sz w:val="24"/>
          <w:szCs w:val="24"/>
          <w:highlight w:val="yellow"/>
          <w:lang w:eastAsia="es-DO"/>
        </w:rPr>
        <w:t>P</w:t>
      </w:r>
      <w:r w:rsidRPr="009A5122">
        <w:rPr>
          <w:rFonts w:eastAsia="Times New Roman" w:cstheme="minorHAnsi"/>
          <w:color w:val="000000"/>
          <w:sz w:val="24"/>
          <w:szCs w:val="24"/>
          <w:highlight w:val="yellow"/>
          <w:lang w:eastAsia="es-DO"/>
        </w:rPr>
        <w:t>roceso de Empaque: 5%</w:t>
      </w:r>
    </w:p>
    <w:p w14:paraId="6B600276" w14:textId="77777777" w:rsidR="00215CA7" w:rsidRPr="00215CA7" w:rsidRDefault="00215CA7" w:rsidP="00215CA7">
      <w:pPr>
        <w:spacing w:after="0"/>
        <w:jc w:val="both"/>
        <w:rPr>
          <w:rFonts w:eastAsia="Times New Roman" w:cstheme="minorHAnsi"/>
          <w:color w:val="000000"/>
          <w:sz w:val="24"/>
          <w:szCs w:val="24"/>
          <w:lang w:eastAsia="es-DO"/>
        </w:rPr>
      </w:pPr>
    </w:p>
    <w:p w14:paraId="0AEFFB42" w14:textId="1A06BF48"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Estas informaciones se validarán en la</w:t>
      </w:r>
      <w:r>
        <w:rPr>
          <w:rFonts w:eastAsia="Times New Roman" w:cstheme="minorHAnsi"/>
          <w:color w:val="000000"/>
          <w:sz w:val="24"/>
          <w:szCs w:val="24"/>
          <w:lang w:eastAsia="es-DO"/>
        </w:rPr>
        <w:t xml:space="preserve"> visita técnica a los oferentes</w:t>
      </w:r>
    </w:p>
    <w:p w14:paraId="3386BC7D" w14:textId="77777777"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Experiencia Acumulada en el Sector (EA): Adiciona hasta un 20% a la Capacidad Productiva (CP). </w:t>
      </w:r>
    </w:p>
    <w:p w14:paraId="5520FE7E" w14:textId="73D5023F"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El acápite cuatro (4) se refiere a la cantidad y calificación del personal. En ese orden el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20 %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 xml:space="preserve"> por ciento de la Experiencia (EA) está dist</w:t>
      </w:r>
      <w:r>
        <w:rPr>
          <w:rFonts w:eastAsia="Times New Roman" w:cstheme="minorHAnsi"/>
          <w:color w:val="000000"/>
          <w:sz w:val="24"/>
          <w:szCs w:val="24"/>
          <w:lang w:eastAsia="es-DO"/>
        </w:rPr>
        <w:t>ribuida de la siguiente manera:</w:t>
      </w:r>
    </w:p>
    <w:p w14:paraId="6DD010E5" w14:textId="77777777"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Capacitación del personal: (formación académica, anexar certificados y diplomas) 10%</w:t>
      </w:r>
    </w:p>
    <w:p w14:paraId="44961BFD" w14:textId="251EB360" w:rsidR="00215CA7" w:rsidRPr="009A5122" w:rsidRDefault="00215CA7" w:rsidP="00215CA7">
      <w:pPr>
        <w:jc w:val="both"/>
        <w:rPr>
          <w:rFonts w:eastAsia="Times New Roman" w:cstheme="minorHAnsi"/>
          <w:color w:val="000000"/>
          <w:sz w:val="24"/>
          <w:szCs w:val="24"/>
          <w:highlight w:val="yellow"/>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En caso de que no presentar la documentación técnica de formación académica, </w:t>
      </w:r>
      <w:r w:rsidRPr="009A5122">
        <w:rPr>
          <w:rFonts w:eastAsia="Times New Roman" w:cstheme="minorHAnsi"/>
          <w:color w:val="000000"/>
          <w:sz w:val="24"/>
          <w:szCs w:val="24"/>
          <w:highlight w:val="yellow"/>
          <w:lang w:eastAsia="es-DO"/>
        </w:rPr>
        <w:t>validaremos la experiencia acumu</w:t>
      </w:r>
      <w:r w:rsidRPr="009A5122">
        <w:rPr>
          <w:rFonts w:eastAsia="Times New Roman" w:cstheme="minorHAnsi"/>
          <w:color w:val="000000"/>
          <w:sz w:val="24"/>
          <w:szCs w:val="24"/>
          <w:highlight w:val="yellow"/>
          <w:lang w:eastAsia="es-DO"/>
        </w:rPr>
        <w:t>lada durante la visita técnica,</w:t>
      </w:r>
    </w:p>
    <w:p w14:paraId="56A43DEE" w14:textId="561D8FDD" w:rsidR="00215CA7" w:rsidRPr="009A5122" w:rsidRDefault="00215CA7" w:rsidP="00215CA7">
      <w:pPr>
        <w:jc w:val="both"/>
        <w:rPr>
          <w:rFonts w:eastAsia="Times New Roman" w:cstheme="minorHAnsi"/>
          <w:color w:val="000000"/>
          <w:sz w:val="24"/>
          <w:szCs w:val="24"/>
          <w:highlight w:val="yellow"/>
          <w:lang w:eastAsia="es-DO"/>
        </w:rPr>
      </w:pPr>
      <w:r w:rsidRPr="009A5122">
        <w:rPr>
          <w:rFonts w:eastAsia="Times New Roman" w:cstheme="minorHAnsi"/>
          <w:color w:val="000000"/>
          <w:sz w:val="24"/>
          <w:szCs w:val="24"/>
          <w:highlight w:val="yellow"/>
          <w:lang w:eastAsia="es-DO"/>
        </w:rPr>
        <w:t>Supervisión de la producción (Si al momento de la visita técnica se comprueba que tiene un supervisor re</w:t>
      </w:r>
      <w:r w:rsidRPr="009A5122">
        <w:rPr>
          <w:rFonts w:eastAsia="Times New Roman" w:cstheme="minorHAnsi"/>
          <w:color w:val="000000"/>
          <w:sz w:val="24"/>
          <w:szCs w:val="24"/>
          <w:highlight w:val="yellow"/>
          <w:lang w:eastAsia="es-DO"/>
        </w:rPr>
        <w:t>sponsable de la producción) 5 %</w:t>
      </w:r>
    </w:p>
    <w:p w14:paraId="7ACE8ED2" w14:textId="72B84A1E" w:rsidR="00215CA7" w:rsidRPr="00215CA7" w:rsidRDefault="00215CA7" w:rsidP="00215CA7">
      <w:pPr>
        <w:jc w:val="both"/>
        <w:rPr>
          <w:rFonts w:eastAsia="Times New Roman" w:cstheme="minorHAnsi"/>
          <w:color w:val="000000"/>
          <w:sz w:val="24"/>
          <w:szCs w:val="24"/>
          <w:lang w:eastAsia="es-DO"/>
        </w:rPr>
      </w:pPr>
      <w:r w:rsidRPr="009A5122">
        <w:rPr>
          <w:rFonts w:eastAsia="Times New Roman" w:cstheme="minorHAnsi"/>
          <w:color w:val="000000"/>
          <w:sz w:val="24"/>
          <w:szCs w:val="24"/>
          <w:highlight w:val="yellow"/>
          <w:lang w:eastAsia="es-DO"/>
        </w:rPr>
        <w:t>Aseguramiento (Control) de la calidad de la producción (Si al momento de la visita técnica se comprueba que tiene un supervisor</w:t>
      </w:r>
      <w:r w:rsidRPr="009A5122">
        <w:rPr>
          <w:rFonts w:eastAsia="Times New Roman" w:cstheme="minorHAnsi"/>
          <w:color w:val="000000"/>
          <w:sz w:val="24"/>
          <w:szCs w:val="24"/>
          <w:highlight w:val="yellow"/>
          <w:lang w:eastAsia="es-DO"/>
        </w:rPr>
        <w:t xml:space="preserve"> responsable de la calidad) 5 %</w:t>
      </w:r>
    </w:p>
    <w:p w14:paraId="7200BF2C" w14:textId="5CA061F9"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14:paraId="67EB6E52" w14:textId="7038F337"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[Etss/100]</w:t>
      </w:r>
    </w:p>
    <w:p w14:paraId="2C567B52" w14:textId="53D78A80" w:rsidR="00215CA7" w:rsidRPr="00215CA7" w:rsidRDefault="00215CA7" w:rsidP="00215CA7">
      <w:pPr>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14:paraId="19B8B87C" w14:textId="25FDEFC2"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lastRenderedPageBreak/>
        <w:t>CI = C</w:t>
      </w:r>
      <w:r>
        <w:rPr>
          <w:rFonts w:eastAsia="Times New Roman" w:cstheme="minorHAnsi"/>
          <w:color w:val="000000"/>
          <w:sz w:val="24"/>
          <w:szCs w:val="24"/>
          <w:lang w:eastAsia="es-DO"/>
        </w:rPr>
        <w:t>P * {[1 + EA/100] + [Etss/100]}</w:t>
      </w:r>
    </w:p>
    <w:p w14:paraId="77028456" w14:textId="4C724EAC"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14:paraId="55413574" w14:textId="572F4479" w:rsidR="00215CA7" w:rsidRPr="00215CA7" w:rsidRDefault="00215CA7" w:rsidP="00215CA7">
      <w:pPr>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14:paraId="1168D92D" w14:textId="2DD2C69B"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Tendrán la preferencia los oferentes que presenten un mínimo de 5 años de establecidos y en operación, realizando la confección de Mochilas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14:paraId="51F0D723" w14:textId="773D7F8D"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Párrafo 1: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14:paraId="30A24308" w14:textId="2751D081" w:rsidR="00215CA7" w:rsidRPr="00215CA7" w:rsidRDefault="00215CA7" w:rsidP="00215CA7">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14:paraId="05B482FA" w14:textId="4D125795" w:rsidR="008A6719" w:rsidRPr="006000F9" w:rsidRDefault="00215CA7" w:rsidP="006000F9">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 </w:t>
      </w:r>
      <w:r w:rsidRPr="009A5122">
        <w:rPr>
          <w:rFonts w:eastAsia="Times New Roman" w:cstheme="minorHAnsi"/>
          <w:color w:val="000000"/>
          <w:sz w:val="24"/>
          <w:szCs w:val="24"/>
          <w:highlight w:val="yellow"/>
          <w:lang w:eastAsia="es-DO"/>
        </w:rPr>
        <w:t>En adicción a estas informaciones las empresas deberán tener una capacidad mínima de seis (6) a ocho (8) máquina correspondiente al proceso licitado. Dentro de las cuales deben estar incluidas las maquinarias exigida en el pliego de condiciones del Instituto nacional de Bienestar Estudiantil (INABIE). Las cuáles serán validadas y probadas en la visita técnica para comprobar que están funcionando y que están apta condiciones productivas</w:t>
      </w:r>
      <w:r w:rsidRPr="009A5122">
        <w:rPr>
          <w:rFonts w:eastAsia="Times New Roman" w:cstheme="minorHAnsi"/>
          <w:color w:val="000000"/>
          <w:sz w:val="24"/>
          <w:szCs w:val="24"/>
          <w:highlight w:val="yellow"/>
          <w:lang w:eastAsia="es-DO"/>
        </w:rPr>
        <w:t>.</w:t>
      </w:r>
    </w:p>
    <w:p w14:paraId="016D1A38" w14:textId="4A57B41F" w:rsidR="00EB3501" w:rsidRPr="00215CA7" w:rsidRDefault="00EB3501" w:rsidP="00215CA7">
      <w:pPr>
        <w:pStyle w:val="ListParagraph"/>
        <w:numPr>
          <w:ilvl w:val="0"/>
          <w:numId w:val="5"/>
        </w:numPr>
        <w:ind w:left="0" w:firstLine="0"/>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 xml:space="preserve">Se modifica: </w:t>
      </w:r>
      <w:r w:rsidR="009A7742" w:rsidRPr="00215CA7">
        <w:rPr>
          <w:rFonts w:eastAsia="Times New Roman" w:cstheme="minorHAnsi"/>
          <w:color w:val="000000"/>
          <w:sz w:val="24"/>
          <w:szCs w:val="24"/>
          <w:lang w:eastAsia="es-DO"/>
        </w:rPr>
        <w:t xml:space="preserve">El </w:t>
      </w:r>
      <w:r w:rsidRPr="00215CA7">
        <w:rPr>
          <w:rFonts w:eastAsia="Times New Roman" w:cstheme="minorHAnsi"/>
          <w:color w:val="000000"/>
          <w:sz w:val="24"/>
          <w:szCs w:val="24"/>
          <w:lang w:eastAsia="es-DO"/>
        </w:rPr>
        <w:t>numeral 1.19, sobre Subsanac</w:t>
      </w:r>
      <w:r w:rsidR="009A7742" w:rsidRPr="00215CA7">
        <w:rPr>
          <w:rFonts w:eastAsia="Times New Roman" w:cstheme="minorHAnsi"/>
          <w:color w:val="000000"/>
          <w:sz w:val="24"/>
          <w:szCs w:val="24"/>
          <w:lang w:eastAsia="es-DO"/>
        </w:rPr>
        <w:t xml:space="preserve">iones, a </w:t>
      </w:r>
      <w:r w:rsidR="009A7742" w:rsidRPr="00215CA7">
        <w:rPr>
          <w:rFonts w:eastAsia="Times New Roman" w:cstheme="minorHAnsi"/>
          <w:color w:val="000000"/>
          <w:sz w:val="24"/>
          <w:szCs w:val="24"/>
          <w:lang w:eastAsia="es-DO"/>
        </w:rPr>
        <w:t xml:space="preserve">partir del tercer párrafo, </w:t>
      </w:r>
      <w:r w:rsidR="009A7742" w:rsidRPr="00215CA7">
        <w:rPr>
          <w:rFonts w:eastAsia="Times New Roman" w:cstheme="minorHAnsi"/>
          <w:color w:val="000000"/>
          <w:sz w:val="24"/>
          <w:szCs w:val="24"/>
          <w:lang w:eastAsia="es-DO"/>
        </w:rPr>
        <w:t>que en lo adelante, dirá de la forma siguiente:</w:t>
      </w:r>
    </w:p>
    <w:p w14:paraId="51938386" w14:textId="77777777" w:rsidR="009A7742" w:rsidRPr="009A7742" w:rsidRDefault="009A7742" w:rsidP="006000F9">
      <w:pPr>
        <w:spacing w:after="0" w:line="240" w:lineRule="auto"/>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14:paraId="232999D4" w14:textId="77777777" w:rsidR="009A7742" w:rsidRPr="009A7742" w:rsidRDefault="009A7742" w:rsidP="006000F9">
      <w:pPr>
        <w:widowControl w:val="0"/>
        <w:autoSpaceDE w:val="0"/>
        <w:autoSpaceDN w:val="0"/>
        <w:adjustRightInd w:val="0"/>
        <w:spacing w:after="0" w:line="240" w:lineRule="auto"/>
        <w:jc w:val="both"/>
        <w:rPr>
          <w:rFonts w:eastAsia="Times New Roman" w:cstheme="minorHAnsi"/>
          <w:b/>
          <w:bCs/>
          <w:sz w:val="24"/>
          <w:szCs w:val="24"/>
          <w:lang w:eastAsia="es-ES"/>
        </w:rPr>
      </w:pPr>
    </w:p>
    <w:p w14:paraId="0DFF1969" w14:textId="77777777" w:rsidR="009A7742" w:rsidRPr="009A7742" w:rsidRDefault="009A7742" w:rsidP="006000F9">
      <w:pPr>
        <w:widowControl w:val="0"/>
        <w:autoSpaceDE w:val="0"/>
        <w:autoSpaceDN w:val="0"/>
        <w:adjustRightInd w:val="0"/>
        <w:spacing w:after="0" w:line="240" w:lineRule="auto"/>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14:paraId="0E7E77E3" w14:textId="77777777" w:rsidR="009A7742" w:rsidRPr="009A7742" w:rsidRDefault="009A7742" w:rsidP="006000F9">
      <w:pPr>
        <w:widowControl w:val="0"/>
        <w:autoSpaceDE w:val="0"/>
        <w:autoSpaceDN w:val="0"/>
        <w:adjustRightInd w:val="0"/>
        <w:spacing w:after="0" w:line="240" w:lineRule="auto"/>
        <w:jc w:val="both"/>
        <w:rPr>
          <w:rFonts w:eastAsia="Times New Roman" w:cstheme="minorHAnsi"/>
          <w:bCs/>
          <w:sz w:val="24"/>
          <w:szCs w:val="24"/>
          <w:lang w:eastAsia="es-ES"/>
        </w:rPr>
      </w:pPr>
    </w:p>
    <w:p w14:paraId="24C9EF6C" w14:textId="77777777" w:rsidR="009A7742" w:rsidRPr="009A7742" w:rsidRDefault="009A7742" w:rsidP="006000F9">
      <w:pPr>
        <w:widowControl w:val="0"/>
        <w:numPr>
          <w:ilvl w:val="0"/>
          <w:numId w:val="7"/>
        </w:numPr>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14:paraId="71F2BF4C" w14:textId="77777777" w:rsidR="009A7742" w:rsidRPr="009A7742" w:rsidRDefault="009A7742" w:rsidP="006000F9">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14:paraId="08A1C83D" w14:textId="77777777" w:rsidR="009A7742" w:rsidRPr="009A7742" w:rsidRDefault="009A7742" w:rsidP="006000F9">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14:paraId="418B88ED" w14:textId="77777777" w:rsidR="009A7742" w:rsidRPr="009A7742" w:rsidRDefault="009A7742" w:rsidP="006000F9">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14:paraId="2110D1DA" w14:textId="77777777" w:rsidR="009A7742" w:rsidRPr="009A7742" w:rsidRDefault="009A7742" w:rsidP="006000F9">
      <w:pPr>
        <w:widowControl w:val="0"/>
        <w:autoSpaceDE w:val="0"/>
        <w:autoSpaceDN w:val="0"/>
        <w:adjustRightInd w:val="0"/>
        <w:spacing w:after="0" w:line="240" w:lineRule="auto"/>
        <w:ind w:left="426"/>
        <w:jc w:val="both"/>
        <w:rPr>
          <w:rFonts w:eastAsia="Times New Roman" w:cstheme="minorHAnsi"/>
          <w:sz w:val="24"/>
          <w:szCs w:val="24"/>
          <w:lang w:eastAsia="es-ES"/>
        </w:rPr>
      </w:pPr>
    </w:p>
    <w:p w14:paraId="1D4F654D" w14:textId="77777777" w:rsidR="009A7742" w:rsidRPr="009A7742" w:rsidRDefault="009A7742" w:rsidP="006000F9">
      <w:pPr>
        <w:widowControl w:val="0"/>
        <w:autoSpaceDE w:val="0"/>
        <w:autoSpaceDN w:val="0"/>
        <w:adjustRightInd w:val="0"/>
        <w:spacing w:after="0" w:line="44" w:lineRule="exact"/>
        <w:ind w:left="426"/>
        <w:jc w:val="both"/>
        <w:rPr>
          <w:rFonts w:eastAsia="Times New Roman" w:cstheme="minorHAnsi"/>
          <w:sz w:val="24"/>
          <w:szCs w:val="24"/>
          <w:lang w:eastAsia="es-ES"/>
        </w:rPr>
      </w:pPr>
    </w:p>
    <w:p w14:paraId="09EDEAEE" w14:textId="77777777" w:rsidR="009A7742" w:rsidRPr="009A7742" w:rsidRDefault="009A7742" w:rsidP="006000F9">
      <w:pPr>
        <w:widowControl w:val="0"/>
        <w:numPr>
          <w:ilvl w:val="0"/>
          <w:numId w:val="7"/>
        </w:numPr>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14:paraId="075A6988" w14:textId="77777777" w:rsidR="009A7742" w:rsidRPr="009A7742" w:rsidRDefault="009A7742" w:rsidP="006000F9">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14:paraId="328F3B4F" w14:textId="77777777" w:rsidR="009A7742" w:rsidRDefault="009A7742" w:rsidP="006000F9">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sz w:val="24"/>
          <w:szCs w:val="24"/>
          <w:lang w:eastAsia="es-ES"/>
        </w:rPr>
        <w:t xml:space="preserve">- La no presentación de la Garantía de Seriedad de Oferta o la presentación de esta con: 1)  Insuficiencia del valor de la Garantía de Seriedad de Oferta; y/o 2) Carencia del tiempo o periodo de vigencia de Garantía de Seriedad de Oferta. </w:t>
      </w:r>
    </w:p>
    <w:p w14:paraId="3BE30251" w14:textId="77777777" w:rsidR="009A7742" w:rsidRPr="009A7742" w:rsidRDefault="009A7742" w:rsidP="00020423">
      <w:pPr>
        <w:widowControl w:val="0"/>
        <w:overflowPunct w:val="0"/>
        <w:autoSpaceDE w:val="0"/>
        <w:autoSpaceDN w:val="0"/>
        <w:adjustRightInd w:val="0"/>
        <w:spacing w:after="0" w:line="240" w:lineRule="auto"/>
        <w:jc w:val="both"/>
        <w:rPr>
          <w:rFonts w:eastAsia="Times New Roman" w:cstheme="minorHAnsi"/>
          <w:sz w:val="24"/>
          <w:szCs w:val="24"/>
          <w:lang w:eastAsia="es-ES"/>
        </w:rPr>
      </w:pPr>
    </w:p>
    <w:p w14:paraId="017F1D5E" w14:textId="6F599311" w:rsidR="00795A60" w:rsidRPr="00215CA7" w:rsidRDefault="009A7742" w:rsidP="00795A60">
      <w:pPr>
        <w:widowControl w:val="0"/>
        <w:numPr>
          <w:ilvl w:val="0"/>
          <w:numId w:val="7"/>
        </w:numPr>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00795A60" w:rsidRPr="00215CA7">
        <w:rPr>
          <w:rFonts w:eastAsia="Times New Roman" w:cstheme="minorHAnsi"/>
          <w:sz w:val="24"/>
          <w:szCs w:val="24"/>
          <w:lang w:eastAsia="es-ES"/>
        </w:rPr>
        <w:t>iego de Condiciones Específicas.</w:t>
      </w:r>
    </w:p>
    <w:p w14:paraId="39E70939" w14:textId="77777777" w:rsidR="00795A60" w:rsidRDefault="00795A60" w:rsidP="00795A60">
      <w:pPr>
        <w:widowControl w:val="0"/>
        <w:overflowPunct w:val="0"/>
        <w:autoSpaceDE w:val="0"/>
        <w:autoSpaceDN w:val="0"/>
        <w:adjustRightInd w:val="0"/>
        <w:spacing w:after="0" w:line="218" w:lineRule="auto"/>
        <w:ind w:right="340"/>
        <w:jc w:val="both"/>
        <w:rPr>
          <w:rFonts w:eastAsia="Times New Roman" w:cstheme="minorHAnsi"/>
          <w:b/>
          <w:sz w:val="24"/>
          <w:szCs w:val="24"/>
          <w:lang w:eastAsia="es-ES"/>
        </w:rPr>
      </w:pPr>
    </w:p>
    <w:p w14:paraId="091DFEA4" w14:textId="79E49BAC" w:rsidR="00795A60" w:rsidRDefault="00795A60" w:rsidP="00795A60">
      <w:pPr>
        <w:pStyle w:val="ListParagraph"/>
        <w:widowControl w:val="0"/>
        <w:numPr>
          <w:ilvl w:val="0"/>
          <w:numId w:val="5"/>
        </w:numPr>
        <w:overflowPunct w:val="0"/>
        <w:autoSpaceDE w:val="0"/>
        <w:autoSpaceDN w:val="0"/>
        <w:adjustRightInd w:val="0"/>
        <w:spacing w:after="0" w:line="218" w:lineRule="auto"/>
        <w:ind w:left="0" w:right="340" w:firstLine="0"/>
        <w:jc w:val="both"/>
        <w:rPr>
          <w:rFonts w:eastAsia="Times New Roman" w:cstheme="minorHAnsi"/>
          <w:b/>
          <w:sz w:val="24"/>
          <w:szCs w:val="24"/>
          <w:lang w:eastAsia="es-ES"/>
        </w:rPr>
      </w:pPr>
      <w:r>
        <w:rPr>
          <w:rFonts w:eastAsia="Times New Roman" w:cstheme="minorHAnsi"/>
          <w:b/>
          <w:sz w:val="24"/>
          <w:szCs w:val="24"/>
          <w:lang w:eastAsia="es-ES"/>
        </w:rPr>
        <w:t xml:space="preserve">Se adiciona: </w:t>
      </w:r>
      <w:r w:rsidR="00020423">
        <w:rPr>
          <w:rFonts w:eastAsia="Times New Roman" w:cstheme="minorHAnsi"/>
          <w:sz w:val="24"/>
          <w:szCs w:val="24"/>
          <w:lang w:eastAsia="es-ES"/>
        </w:rPr>
        <w:t>En el numeral 7.2, sobre Anexos</w:t>
      </w:r>
      <w:r w:rsidRPr="00367BF8">
        <w:rPr>
          <w:rFonts w:eastAsia="Times New Roman" w:cstheme="minorHAnsi"/>
          <w:sz w:val="24"/>
          <w:szCs w:val="24"/>
          <w:lang w:eastAsia="es-ES"/>
        </w:rPr>
        <w:t>.</w:t>
      </w:r>
      <w:r>
        <w:rPr>
          <w:rFonts w:eastAsia="Times New Roman" w:cstheme="minorHAnsi"/>
          <w:b/>
          <w:sz w:val="24"/>
          <w:szCs w:val="24"/>
          <w:lang w:eastAsia="es-ES"/>
        </w:rPr>
        <w:t xml:space="preserve"> </w:t>
      </w:r>
    </w:p>
    <w:p w14:paraId="5207A34C" w14:textId="77777777" w:rsidR="00795A60" w:rsidRDefault="00795A60" w:rsidP="00795A60">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p>
    <w:p w14:paraId="5A6BD854" w14:textId="54E20500" w:rsidR="00795A60" w:rsidRPr="00795A60" w:rsidRDefault="00020423" w:rsidP="00795A60">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r>
        <w:rPr>
          <w:rFonts w:eastAsia="Times New Roman" w:cstheme="minorHAnsi"/>
          <w:b/>
          <w:sz w:val="24"/>
          <w:szCs w:val="24"/>
          <w:lang w:eastAsia="es-ES"/>
        </w:rPr>
        <w:t xml:space="preserve">Anexo </w:t>
      </w:r>
      <w:r w:rsidR="00351E05">
        <w:rPr>
          <w:rFonts w:eastAsia="Times New Roman" w:cstheme="minorHAnsi"/>
          <w:b/>
          <w:sz w:val="24"/>
          <w:szCs w:val="24"/>
          <w:lang w:eastAsia="es-ES"/>
        </w:rPr>
        <w:t>9</w:t>
      </w:r>
      <w:bookmarkStart w:id="2" w:name="_GoBack"/>
      <w:bookmarkEnd w:id="2"/>
      <w:r w:rsidR="00795A60" w:rsidRPr="00795A60">
        <w:rPr>
          <w:rFonts w:eastAsia="Times New Roman" w:cstheme="minorHAnsi"/>
          <w:b/>
          <w:sz w:val="24"/>
          <w:szCs w:val="24"/>
          <w:lang w:eastAsia="es-ES"/>
        </w:rPr>
        <w:t xml:space="preserve">: </w:t>
      </w:r>
      <w:r w:rsidR="00795A60" w:rsidRPr="00020423">
        <w:rPr>
          <w:rFonts w:eastAsia="Times New Roman" w:cstheme="minorHAnsi"/>
          <w:sz w:val="24"/>
          <w:szCs w:val="24"/>
          <w:lang w:eastAsia="es-ES"/>
        </w:rPr>
        <w:t>Borrador de contrato.</w:t>
      </w:r>
    </w:p>
    <w:p w14:paraId="5F6BE9B7" w14:textId="77777777" w:rsidR="00F20DC2" w:rsidRPr="00F20DC2" w:rsidRDefault="00F20DC2" w:rsidP="00F20DC2">
      <w:pPr>
        <w:spacing w:after="0"/>
        <w:jc w:val="both"/>
        <w:rPr>
          <w:rFonts w:ascii="Arial Narrow" w:eastAsia="Times New Roman" w:hAnsi="Arial Narrow" w:cs="Arial"/>
          <w:sz w:val="28"/>
          <w:szCs w:val="28"/>
          <w:lang w:eastAsia="es-ES"/>
        </w:rPr>
      </w:pPr>
    </w:p>
    <w:sectPr w:rsidR="00F20DC2" w:rsidRPr="00F20DC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CE17D" w14:textId="77777777" w:rsidR="0035563A" w:rsidRDefault="0035563A" w:rsidP="00367BF8">
      <w:pPr>
        <w:spacing w:after="0" w:line="240" w:lineRule="auto"/>
      </w:pPr>
      <w:r>
        <w:separator/>
      </w:r>
    </w:p>
  </w:endnote>
  <w:endnote w:type="continuationSeparator" w:id="0">
    <w:p w14:paraId="351C1F44" w14:textId="77777777" w:rsidR="0035563A" w:rsidRDefault="0035563A" w:rsidP="0036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1766"/>
      <w:docPartObj>
        <w:docPartGallery w:val="Page Numbers (Bottom of Page)"/>
        <w:docPartUnique/>
      </w:docPartObj>
    </w:sdtPr>
    <w:sdtEndPr>
      <w:rPr>
        <w:noProof/>
      </w:rPr>
    </w:sdtEndPr>
    <w:sdtContent>
      <w:p w14:paraId="3802353C" w14:textId="56005534" w:rsidR="00367BF8" w:rsidRDefault="00367BF8">
        <w:pPr>
          <w:pStyle w:val="Footer"/>
          <w:jc w:val="center"/>
        </w:pPr>
        <w:r>
          <w:fldChar w:fldCharType="begin"/>
        </w:r>
        <w:r>
          <w:instrText xml:space="preserve"> PAGE   \* MERGEFORMAT </w:instrText>
        </w:r>
        <w:r>
          <w:fldChar w:fldCharType="separate"/>
        </w:r>
        <w:r w:rsidR="00E01652">
          <w:rPr>
            <w:noProof/>
          </w:rPr>
          <w:t>8</w:t>
        </w:r>
        <w:r>
          <w:rPr>
            <w:noProof/>
          </w:rPr>
          <w:fldChar w:fldCharType="end"/>
        </w:r>
      </w:p>
    </w:sdtContent>
  </w:sdt>
  <w:p w14:paraId="11CFE737" w14:textId="77777777" w:rsidR="00367BF8" w:rsidRDefault="00367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A20D4" w14:textId="77777777" w:rsidR="0035563A" w:rsidRDefault="0035563A" w:rsidP="00367BF8">
      <w:pPr>
        <w:spacing w:after="0" w:line="240" w:lineRule="auto"/>
      </w:pPr>
      <w:r>
        <w:separator/>
      </w:r>
    </w:p>
  </w:footnote>
  <w:footnote w:type="continuationSeparator" w:id="0">
    <w:p w14:paraId="2EAE4413" w14:textId="77777777" w:rsidR="0035563A" w:rsidRDefault="0035563A" w:rsidP="00367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653D9"/>
    <w:multiLevelType w:val="hybridMultilevel"/>
    <w:tmpl w:val="63A65A2A"/>
    <w:lvl w:ilvl="0" w:tplc="1C449CF8">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13BE1087"/>
    <w:multiLevelType w:val="hybridMultilevel"/>
    <w:tmpl w:val="8C088AA4"/>
    <w:lvl w:ilvl="0" w:tplc="38EC1840">
      <w:start w:val="1"/>
      <w:numFmt w:val="decimal"/>
      <w:lvlText w:val="%1)"/>
      <w:lvlJc w:val="left"/>
      <w:pPr>
        <w:ind w:left="2487"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1C5F1B14"/>
    <w:multiLevelType w:val="hybridMultilevel"/>
    <w:tmpl w:val="F132A2A0"/>
    <w:lvl w:ilvl="0" w:tplc="58EA6E42">
      <w:start w:val="1"/>
      <w:numFmt w:val="bullet"/>
      <w:lvlText w:val=""/>
      <w:lvlJc w:val="left"/>
      <w:pPr>
        <w:ind w:left="720" w:hanging="360"/>
      </w:pPr>
      <w:rPr>
        <w:rFonts w:ascii="Symbol" w:hAnsi="Symbol" w:hint="default"/>
        <w:color w:val="000000" w:themeColor="text1"/>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6">
    <w:nsid w:val="3AD543E7"/>
    <w:multiLevelType w:val="hybridMultilevel"/>
    <w:tmpl w:val="E976E96E"/>
    <w:lvl w:ilvl="0" w:tplc="0948799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55B30091"/>
    <w:multiLevelType w:val="hybridMultilevel"/>
    <w:tmpl w:val="2D7681D4"/>
    <w:lvl w:ilvl="0" w:tplc="9ADEC8F0">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5C625D56"/>
    <w:multiLevelType w:val="hybridMultilevel"/>
    <w:tmpl w:val="A25ABE4E"/>
    <w:lvl w:ilvl="0" w:tplc="79506B74">
      <w:start w:val="2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1"/>
  </w:num>
  <w:num w:numId="5">
    <w:abstractNumId w:val="3"/>
  </w:num>
  <w:num w:numId="6">
    <w:abstractNumId w:val="8"/>
  </w:num>
  <w:num w:numId="7">
    <w:abstractNumId w:val="9"/>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34"/>
    <w:rsid w:val="00017EBB"/>
    <w:rsid w:val="00020423"/>
    <w:rsid w:val="000566A4"/>
    <w:rsid w:val="00140634"/>
    <w:rsid w:val="001555F3"/>
    <w:rsid w:val="001A17A6"/>
    <w:rsid w:val="001B7C66"/>
    <w:rsid w:val="001C03B0"/>
    <w:rsid w:val="001C2E6E"/>
    <w:rsid w:val="00215CA7"/>
    <w:rsid w:val="00267252"/>
    <w:rsid w:val="002926AD"/>
    <w:rsid w:val="002F14D5"/>
    <w:rsid w:val="00351E05"/>
    <w:rsid w:val="0035563A"/>
    <w:rsid w:val="00367BF8"/>
    <w:rsid w:val="003B490E"/>
    <w:rsid w:val="003C48A8"/>
    <w:rsid w:val="00402D1E"/>
    <w:rsid w:val="00407CCF"/>
    <w:rsid w:val="0044670F"/>
    <w:rsid w:val="004B5214"/>
    <w:rsid w:val="00522685"/>
    <w:rsid w:val="00546879"/>
    <w:rsid w:val="005E0AE3"/>
    <w:rsid w:val="006000F9"/>
    <w:rsid w:val="00646E46"/>
    <w:rsid w:val="00695AC0"/>
    <w:rsid w:val="006A2199"/>
    <w:rsid w:val="006A6C4A"/>
    <w:rsid w:val="006F3C1E"/>
    <w:rsid w:val="0071063B"/>
    <w:rsid w:val="00795A60"/>
    <w:rsid w:val="007D564B"/>
    <w:rsid w:val="007E03EB"/>
    <w:rsid w:val="008367CD"/>
    <w:rsid w:val="00876663"/>
    <w:rsid w:val="008A6719"/>
    <w:rsid w:val="009509A5"/>
    <w:rsid w:val="00972D5B"/>
    <w:rsid w:val="009767FD"/>
    <w:rsid w:val="009A208F"/>
    <w:rsid w:val="009A5122"/>
    <w:rsid w:val="009A7742"/>
    <w:rsid w:val="00A51ED9"/>
    <w:rsid w:val="00A97EB2"/>
    <w:rsid w:val="00AB30F6"/>
    <w:rsid w:val="00AE14A2"/>
    <w:rsid w:val="00B3659A"/>
    <w:rsid w:val="00B43DA9"/>
    <w:rsid w:val="00B7582F"/>
    <w:rsid w:val="00BB08E5"/>
    <w:rsid w:val="00BE6499"/>
    <w:rsid w:val="00BF6D6B"/>
    <w:rsid w:val="00C1246D"/>
    <w:rsid w:val="00C164B0"/>
    <w:rsid w:val="00C266E3"/>
    <w:rsid w:val="00C30A4F"/>
    <w:rsid w:val="00C87C41"/>
    <w:rsid w:val="00D06390"/>
    <w:rsid w:val="00D4424B"/>
    <w:rsid w:val="00DD29A3"/>
    <w:rsid w:val="00DD4FAB"/>
    <w:rsid w:val="00DE3464"/>
    <w:rsid w:val="00E01652"/>
    <w:rsid w:val="00E2174C"/>
    <w:rsid w:val="00E40BA8"/>
    <w:rsid w:val="00E861DC"/>
    <w:rsid w:val="00E91163"/>
    <w:rsid w:val="00EB3501"/>
    <w:rsid w:val="00EE6D81"/>
    <w:rsid w:val="00F00D66"/>
    <w:rsid w:val="00F20DC2"/>
    <w:rsid w:val="00F662D2"/>
    <w:rsid w:val="00F9758A"/>
    <w:rsid w:val="00FD388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DC8D"/>
  <w15:chartTrackingRefBased/>
  <w15:docId w15:val="{523FBF0C-2E1C-4D06-A230-9744BF8E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634"/>
    <w:pPr>
      <w:ind w:left="720"/>
      <w:contextualSpacing/>
    </w:pPr>
  </w:style>
  <w:style w:type="paragraph" w:styleId="CommentText">
    <w:name w:val="annotation text"/>
    <w:basedOn w:val="Normal"/>
    <w:link w:val="CommentTextChar"/>
    <w:uiPriority w:val="99"/>
    <w:semiHidden/>
    <w:unhideWhenUsed/>
    <w:rsid w:val="000566A4"/>
    <w:pPr>
      <w:spacing w:line="240" w:lineRule="auto"/>
    </w:pPr>
    <w:rPr>
      <w:sz w:val="20"/>
      <w:szCs w:val="20"/>
    </w:rPr>
  </w:style>
  <w:style w:type="character" w:customStyle="1" w:styleId="CommentTextChar">
    <w:name w:val="Comment Text Char"/>
    <w:basedOn w:val="DefaultParagraphFont"/>
    <w:link w:val="CommentText"/>
    <w:uiPriority w:val="99"/>
    <w:semiHidden/>
    <w:rsid w:val="000566A4"/>
    <w:rPr>
      <w:sz w:val="20"/>
      <w:szCs w:val="20"/>
    </w:rPr>
  </w:style>
  <w:style w:type="character" w:styleId="CommentReference">
    <w:name w:val="annotation reference"/>
    <w:basedOn w:val="DefaultParagraphFont"/>
    <w:rsid w:val="000566A4"/>
    <w:rPr>
      <w:sz w:val="16"/>
      <w:szCs w:val="16"/>
    </w:rPr>
  </w:style>
  <w:style w:type="paragraph" w:styleId="BalloonText">
    <w:name w:val="Balloon Text"/>
    <w:basedOn w:val="Normal"/>
    <w:link w:val="BalloonTextChar"/>
    <w:uiPriority w:val="99"/>
    <w:semiHidden/>
    <w:unhideWhenUsed/>
    <w:rsid w:val="00056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A4"/>
    <w:rPr>
      <w:rFonts w:ascii="Segoe UI" w:hAnsi="Segoe UI" w:cs="Segoe UI"/>
      <w:sz w:val="18"/>
      <w:szCs w:val="18"/>
    </w:rPr>
  </w:style>
  <w:style w:type="paragraph" w:styleId="NormalWeb">
    <w:name w:val="Normal (Web)"/>
    <w:basedOn w:val="Normal"/>
    <w:uiPriority w:val="99"/>
    <w:unhideWhenUsed/>
    <w:rsid w:val="000566A4"/>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Subject">
    <w:name w:val="annotation subject"/>
    <w:basedOn w:val="CommentText"/>
    <w:next w:val="CommentText"/>
    <w:link w:val="CommentSubjectChar"/>
    <w:uiPriority w:val="99"/>
    <w:semiHidden/>
    <w:unhideWhenUsed/>
    <w:rsid w:val="001A17A6"/>
    <w:rPr>
      <w:b/>
      <w:bCs/>
    </w:rPr>
  </w:style>
  <w:style w:type="character" w:customStyle="1" w:styleId="CommentSubjectChar">
    <w:name w:val="Comment Subject Char"/>
    <w:basedOn w:val="CommentTextChar"/>
    <w:link w:val="CommentSubject"/>
    <w:uiPriority w:val="99"/>
    <w:semiHidden/>
    <w:rsid w:val="001A17A6"/>
    <w:rPr>
      <w:b/>
      <w:bCs/>
      <w:sz w:val="20"/>
      <w:szCs w:val="20"/>
    </w:rPr>
  </w:style>
  <w:style w:type="paragraph" w:styleId="Header">
    <w:name w:val="header"/>
    <w:basedOn w:val="Normal"/>
    <w:link w:val="HeaderChar"/>
    <w:uiPriority w:val="99"/>
    <w:unhideWhenUsed/>
    <w:rsid w:val="00367BF8"/>
    <w:pPr>
      <w:tabs>
        <w:tab w:val="center" w:pos="4252"/>
        <w:tab w:val="right" w:pos="8504"/>
      </w:tabs>
      <w:spacing w:after="0" w:line="240" w:lineRule="auto"/>
    </w:pPr>
  </w:style>
  <w:style w:type="character" w:customStyle="1" w:styleId="HeaderChar">
    <w:name w:val="Header Char"/>
    <w:basedOn w:val="DefaultParagraphFont"/>
    <w:link w:val="Header"/>
    <w:uiPriority w:val="99"/>
    <w:rsid w:val="00367BF8"/>
  </w:style>
  <w:style w:type="paragraph" w:styleId="Footer">
    <w:name w:val="footer"/>
    <w:basedOn w:val="Normal"/>
    <w:link w:val="FooterChar"/>
    <w:uiPriority w:val="99"/>
    <w:unhideWhenUsed/>
    <w:rsid w:val="00367BF8"/>
    <w:pPr>
      <w:tabs>
        <w:tab w:val="center" w:pos="4252"/>
        <w:tab w:val="right" w:pos="8504"/>
      </w:tabs>
      <w:spacing w:after="0" w:line="240" w:lineRule="auto"/>
    </w:pPr>
  </w:style>
  <w:style w:type="character" w:customStyle="1" w:styleId="FooterChar">
    <w:name w:val="Footer Char"/>
    <w:basedOn w:val="DefaultParagraphFont"/>
    <w:link w:val="Footer"/>
    <w:uiPriority w:val="99"/>
    <w:rsid w:val="00367BF8"/>
  </w:style>
  <w:style w:type="table" w:styleId="TableGrid">
    <w:name w:val="Table Grid"/>
    <w:basedOn w:val="TableNormal"/>
    <w:uiPriority w:val="39"/>
    <w:rsid w:val="002F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1304">
      <w:bodyDiv w:val="1"/>
      <w:marLeft w:val="0"/>
      <w:marRight w:val="0"/>
      <w:marTop w:val="0"/>
      <w:marBottom w:val="0"/>
      <w:divBdr>
        <w:top w:val="none" w:sz="0" w:space="0" w:color="auto"/>
        <w:left w:val="none" w:sz="0" w:space="0" w:color="auto"/>
        <w:bottom w:val="none" w:sz="0" w:space="0" w:color="auto"/>
        <w:right w:val="none" w:sz="0" w:space="0" w:color="auto"/>
      </w:divBdr>
    </w:div>
    <w:div w:id="19290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11928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Prueba</cp:lastModifiedBy>
  <cp:revision>2</cp:revision>
  <dcterms:created xsi:type="dcterms:W3CDTF">2019-12-13T17:48:00Z</dcterms:created>
  <dcterms:modified xsi:type="dcterms:W3CDTF">2019-12-13T17:48:00Z</dcterms:modified>
</cp:coreProperties>
</file>